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59354">
      <w:pPr>
        <w:pStyle w:val="2"/>
        <w:jc w:val="center"/>
      </w:pPr>
      <w:r>
        <w:rPr>
          <w:rFonts w:hint="eastAsia"/>
        </w:rPr>
        <w:t>采购需求</w:t>
      </w:r>
    </w:p>
    <w:p w14:paraId="5FE9E78E"/>
    <w:p w14:paraId="07F88341">
      <w:pPr>
        <w:spacing w:line="312" w:lineRule="auto"/>
        <w:rPr>
          <w:rFonts w:ascii="黑体" w:hAnsi="黑体" w:eastAsia="黑体" w:cs="黑体"/>
          <w:b/>
          <w:bCs/>
          <w:sz w:val="32"/>
          <w:szCs w:val="32"/>
        </w:rPr>
      </w:pPr>
    </w:p>
    <w:tbl>
      <w:tblPr>
        <w:tblStyle w:val="5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915"/>
        <w:gridCol w:w="2648"/>
        <w:gridCol w:w="983"/>
        <w:gridCol w:w="992"/>
        <w:gridCol w:w="1418"/>
      </w:tblGrid>
      <w:tr w14:paraId="2F025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  <w:shd w:val="clear" w:color="auto" w:fill="auto"/>
            <w:vAlign w:val="center"/>
          </w:tcPr>
          <w:p w14:paraId="0D14A9B8">
            <w:pPr>
              <w:pStyle w:val="3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序号</w:t>
            </w:r>
          </w:p>
        </w:tc>
        <w:tc>
          <w:tcPr>
            <w:tcW w:w="1915" w:type="dxa"/>
            <w:shd w:val="clear" w:color="auto" w:fill="auto"/>
            <w:vAlign w:val="center"/>
          </w:tcPr>
          <w:p w14:paraId="6CBFBD26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货品名称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12C85BAF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规格及技术参数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2B720C3C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单位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4C3476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数量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A20804">
            <w:pPr>
              <w:pStyle w:val="3"/>
              <w:jc w:val="center"/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总金额</w:t>
            </w:r>
          </w:p>
          <w:p w14:paraId="7F1A4CD4"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（元）</w:t>
            </w:r>
          </w:p>
        </w:tc>
      </w:tr>
      <w:tr w14:paraId="5F49B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 w:color="auto" w:fill="auto"/>
            <w:vAlign w:val="center"/>
          </w:tcPr>
          <w:p w14:paraId="07CBC4F1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1</w:t>
            </w:r>
          </w:p>
        </w:tc>
        <w:tc>
          <w:tcPr>
            <w:tcW w:w="1915" w:type="dxa"/>
            <w:shd w:val="clear" w:color="auto" w:fill="auto"/>
            <w:vAlign w:val="center"/>
          </w:tcPr>
          <w:p w14:paraId="2F4F04CE">
            <w:pPr>
              <w:jc w:val="left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斑点热群立克次体、嗜吞噬细胞无形、查菲埃立克次体和大别班达病毒四重核酸检测试剂盒（荧光PCR法）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69FB6CB2">
            <w:pPr>
              <w:jc w:val="left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1.≥25T/盒；2.</w:t>
            </w:r>
            <w:r>
              <w:rPr>
                <w:rFonts w:hint="eastAsia" w:ascii="仿宋_GB2312" w:eastAsia="仿宋_GB2312"/>
                <w:spacing w:val="20"/>
                <w:kern w:val="10"/>
              </w:rPr>
              <w:t>实时荧光PCR法，用于斑点热群立克次体、啫吞噬细胞无形体、查菲埃立克体和大别班达病毒</w:t>
            </w: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核酸</w:t>
            </w:r>
            <w:r>
              <w:rPr>
                <w:rFonts w:hint="eastAsia" w:ascii="仿宋_GB2312" w:eastAsia="仿宋_GB2312"/>
                <w:spacing w:val="20"/>
                <w:kern w:val="10"/>
              </w:rPr>
              <w:t>的定性检测；</w:t>
            </w: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*3.</w:t>
            </w:r>
            <w:r>
              <w:rPr>
                <w:rFonts w:hint="eastAsia" w:ascii="仿宋_GB2312" w:eastAsia="仿宋_GB2312"/>
                <w:spacing w:val="20"/>
                <w:kern w:val="10"/>
              </w:rPr>
              <w:t>试剂盒组份：RT-PCR反应液（含PCR反应所需成分）、阴性对照、阳性对照、说明书。。</w:t>
            </w: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*4.</w:t>
            </w:r>
            <w:r>
              <w:rPr>
                <w:rFonts w:hint="eastAsia" w:ascii="仿宋_GB2312" w:eastAsia="仿宋_GB2312"/>
                <w:spacing w:val="20"/>
                <w:kern w:val="10"/>
              </w:rPr>
              <w:t>反应体系配置：使用液体全预混技术，无需配置PCR反应体系，只需要将RT-PCR反应液按照20µL/孔分装至八连管或96孔板中，再加入模板5μL即可上机扩增。总反应体系25µL；</w:t>
            </w: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5.</w:t>
            </w:r>
            <w:r>
              <w:rPr>
                <w:rFonts w:hint="eastAsia" w:ascii="仿宋_GB2312" w:eastAsia="仿宋_GB2312"/>
                <w:spacing w:val="20"/>
                <w:kern w:val="10"/>
              </w:rPr>
              <w:t>含有阳性对照和阴性对照试剂内部质控设置，可直接使用，无需参与核酸提取，便于结果判定；</w:t>
            </w: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6.</w:t>
            </w:r>
            <w:r>
              <w:rPr>
                <w:rFonts w:hint="eastAsia" w:ascii="仿宋_GB2312" w:eastAsia="仿宋_GB2312"/>
                <w:spacing w:val="20"/>
                <w:kern w:val="10"/>
              </w:rPr>
              <w:t>最低检出限不低于500 copies/mL</w:t>
            </w:r>
            <w:r>
              <w:rPr>
                <w:rFonts w:hint="eastAsia" w:ascii="仿宋_GB2312" w:eastAsia="仿宋_GB2312"/>
                <w:spacing w:val="20"/>
                <w:kern w:val="10"/>
                <w:lang w:eastAsia="zh-CN"/>
              </w:rPr>
              <w:t>；</w:t>
            </w: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*7.质量体系认证：通过ISO13485及ISO9001体系认证;*8.有效期不少于12个月，成交供应商产品从到货日期算，距有效期不得少于10个月。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6D85DC2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盒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35AB44E">
            <w:pPr>
              <w:jc w:val="center"/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4</w:t>
            </w:r>
          </w:p>
        </w:tc>
        <w:tc>
          <w:tcPr>
            <w:tcW w:w="1418" w:type="dxa"/>
            <w:vMerge w:val="restart"/>
            <w:shd w:val="clear" w:color="auto" w:fill="FFFFFF"/>
            <w:vAlign w:val="center"/>
          </w:tcPr>
          <w:p w14:paraId="3E04F577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45850</w:t>
            </w:r>
            <w:bookmarkStart w:id="0" w:name="_GoBack"/>
            <w:bookmarkEnd w:id="0"/>
          </w:p>
        </w:tc>
      </w:tr>
      <w:tr w14:paraId="087C1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 w:color="auto" w:fill="auto"/>
            <w:vAlign w:val="center"/>
          </w:tcPr>
          <w:p w14:paraId="2A53246F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2</w:t>
            </w:r>
          </w:p>
        </w:tc>
        <w:tc>
          <w:tcPr>
            <w:tcW w:w="1915" w:type="dxa"/>
            <w:shd w:val="clear" w:color="auto" w:fill="auto"/>
            <w:vAlign w:val="center"/>
          </w:tcPr>
          <w:p w14:paraId="52A98BAB">
            <w:pPr>
              <w:jc w:val="left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仿宋_GB2312" w:eastAsia="仿宋_GB2312"/>
                <w:spacing w:val="20"/>
                <w:kern w:val="10"/>
              </w:rPr>
              <w:t>发热伴血小板减少综合征布尼亚病毒（L基因、M基因、S基因）三重核酸检测试剂盒（荧光PCR法）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4D5FF4B0">
            <w:pPr>
              <w:jc w:val="left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1.≥25T/盒；2.实时荧光PCR法，用于发热伴血小板减少综合征布尼亚病毒（L基因、M基因、S基因）的定性检测；*3.试剂盒组份：RT-PCR反应液（含PCR反应所需成分）、阴性对照、阳性对照、说明书;*4.反应体系配置：使用液体全预混技术，无需配置PCR反应体系，只需要将RT-PCR反应液按照20µL/孔分装至八连管或96孔板中，再加入模板5μL即可上机扩增。总反应体系25µL；5.含有阳性对照和阴性对照试剂内部质控设置，可直接使用，无需参与核酸提取，便于结果判定；6.最低检出限不低于500 copies/mL；*7.质量体系认证：通过ISO13485及ISO9001体系认证;*8.有效期不少于12个月，成交供应商产品从到货日期算，距有效期不得少于10个月。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753AEE68">
            <w:pPr>
              <w:jc w:val="center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盒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0D91040">
            <w:pPr>
              <w:jc w:val="center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4</w:t>
            </w:r>
          </w:p>
        </w:tc>
        <w:tc>
          <w:tcPr>
            <w:tcW w:w="1418" w:type="dxa"/>
            <w:vMerge w:val="continue"/>
            <w:shd w:val="clear" w:color="auto" w:fill="FFFFFF"/>
            <w:vAlign w:val="center"/>
          </w:tcPr>
          <w:p w14:paraId="18C99594">
            <w:pPr>
              <w:adjustRightInd w:val="0"/>
              <w:snapToGrid w:val="0"/>
              <w:spacing w:line="240" w:lineRule="exact"/>
              <w:jc w:val="center"/>
              <w:rPr>
                <w:rFonts w:ascii="华文楷体" w:hAnsi="华文楷体" w:eastAsia="华文楷体" w:cs="华文楷体"/>
                <w:sz w:val="22"/>
              </w:rPr>
            </w:pPr>
          </w:p>
        </w:tc>
      </w:tr>
      <w:tr w14:paraId="1BBEE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 w:color="auto" w:fill="auto"/>
            <w:vAlign w:val="center"/>
          </w:tcPr>
          <w:p w14:paraId="1AEFD95C">
            <w:pPr>
              <w:jc w:val="center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3</w:t>
            </w:r>
          </w:p>
        </w:tc>
        <w:tc>
          <w:tcPr>
            <w:tcW w:w="1915" w:type="dxa"/>
            <w:shd w:val="clear" w:color="auto" w:fill="auto"/>
            <w:vAlign w:val="center"/>
          </w:tcPr>
          <w:p w14:paraId="7E72532B">
            <w:pPr>
              <w:jc w:val="left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土拉弗朗西斯菌核酸检测试剂盒（荧光PCR法）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02ED9408">
            <w:pPr>
              <w:jc w:val="left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1.≥25T/盒；2.实时荧光PCR法，用于土拉弗朗西斯菌的定性检测；*3.试剂盒组份：RT-PCR反应液（含PCR反应所需成分）、阴性对照、阳性对照、说明书;*4.反应体系配置：使用液体全预混技术，无需配置PCR反应体系，只需要将RT-PCR反应液按照20µL/孔分装至八连管或96孔板中，再加入模板5μL即可上机扩增。总反应体系25µL；5.含有阳性对照和阴性对照试剂内部质控设置，可直接使用，无需参与核酸提取，便于结果判定；6.最低检出限不低于500 copies/mL；*7.质量体系认证：通过ISO13485及ISO9001体系认证;*8.有效期不少于12个月，成交供应商产品从到货日期算，距有效期不得少于10个月。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6F54B0AC">
            <w:pPr>
              <w:jc w:val="center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盒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F0AB86A">
            <w:pPr>
              <w:jc w:val="center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3</w:t>
            </w:r>
          </w:p>
        </w:tc>
        <w:tc>
          <w:tcPr>
            <w:tcW w:w="1418" w:type="dxa"/>
            <w:vMerge w:val="continue"/>
            <w:shd w:val="clear" w:color="auto" w:fill="FFFFFF"/>
            <w:vAlign w:val="center"/>
          </w:tcPr>
          <w:p w14:paraId="4736C8B7">
            <w:pPr>
              <w:adjustRightInd w:val="0"/>
              <w:snapToGrid w:val="0"/>
              <w:spacing w:line="240" w:lineRule="exact"/>
              <w:jc w:val="center"/>
              <w:rPr>
                <w:rFonts w:ascii="华文楷体" w:hAnsi="华文楷体" w:eastAsia="华文楷体" w:cs="华文楷体"/>
                <w:sz w:val="22"/>
              </w:rPr>
            </w:pPr>
          </w:p>
        </w:tc>
      </w:tr>
      <w:tr w14:paraId="79384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 w:color="auto" w:fill="auto"/>
            <w:vAlign w:val="center"/>
          </w:tcPr>
          <w:p w14:paraId="49690531">
            <w:pPr>
              <w:jc w:val="center"/>
              <w:rPr>
                <w:rFonts w:hint="eastAsia" w:ascii="华文楷体" w:hAnsi="华文楷体" w:eastAsia="华文楷体" w:cs="华文楷体"/>
                <w:sz w:val="22"/>
                <w:lang w:val="en-US" w:eastAsia="zh-CN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4</w:t>
            </w:r>
          </w:p>
        </w:tc>
        <w:tc>
          <w:tcPr>
            <w:tcW w:w="1915" w:type="dxa"/>
            <w:shd w:val="clear" w:color="auto" w:fill="auto"/>
            <w:vAlign w:val="center"/>
          </w:tcPr>
          <w:p w14:paraId="3C7A0045">
            <w:pPr>
              <w:jc w:val="left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诱蚊诱卵器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6A031308">
            <w:pPr>
              <w:jc w:val="left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1.瓶体为圆柱形透明塑料瓶，直径为70mm，高为100m，瓶底向上突起一个椭圆圆锥形，其高度为20mm，用于放置白色滤纸供伊蚊产卵；2.瓶盖为圆形黑色塑料，直径为75mm，高为20mm，壁厚度为2.5mm，瓶盖可与瓶身拧紧；3.瓶盖上开有三个向内突出的倒圆锥管，上口径为12mm，孔下口径为7mm，管长17mm。3.100个/箱。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1EF4C2C3">
            <w:pPr>
              <w:jc w:val="center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箱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2A1B47D">
            <w:pPr>
              <w:jc w:val="center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1</w:t>
            </w:r>
          </w:p>
        </w:tc>
        <w:tc>
          <w:tcPr>
            <w:tcW w:w="1418" w:type="dxa"/>
            <w:vMerge w:val="continue"/>
            <w:shd w:val="clear" w:color="auto" w:fill="FFFFFF"/>
            <w:vAlign w:val="center"/>
          </w:tcPr>
          <w:p w14:paraId="4C58B59A">
            <w:pPr>
              <w:adjustRightInd w:val="0"/>
              <w:snapToGrid w:val="0"/>
              <w:spacing w:line="240" w:lineRule="exact"/>
              <w:jc w:val="center"/>
              <w:rPr>
                <w:rFonts w:ascii="华文楷体" w:hAnsi="华文楷体" w:eastAsia="华文楷体" w:cs="华文楷体"/>
                <w:sz w:val="22"/>
              </w:rPr>
            </w:pPr>
          </w:p>
        </w:tc>
      </w:tr>
      <w:tr w14:paraId="3AB08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 w:color="auto" w:fill="auto"/>
            <w:vAlign w:val="center"/>
          </w:tcPr>
          <w:p w14:paraId="24A141DA">
            <w:pPr>
              <w:jc w:val="center"/>
              <w:rPr>
                <w:rFonts w:hint="eastAsia" w:ascii="华文楷体" w:hAnsi="华文楷体" w:eastAsia="华文楷体" w:cs="华文楷体"/>
                <w:sz w:val="22"/>
                <w:lang w:val="en-US" w:eastAsia="zh-CN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5</w:t>
            </w:r>
          </w:p>
        </w:tc>
        <w:tc>
          <w:tcPr>
            <w:tcW w:w="1915" w:type="dxa"/>
            <w:shd w:val="clear" w:color="auto" w:fill="auto"/>
            <w:vAlign w:val="center"/>
          </w:tcPr>
          <w:p w14:paraId="021E0AAC">
            <w:pPr>
              <w:jc w:val="left"/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昆虫标本采集腰带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782BF72C">
            <w:pPr>
              <w:jc w:val="left"/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1.含弹力腰带1条、昆虫管8个、昆虫毒瓶2个；2.昆虫管管盖有透气孔，直径2.5cm，高8.5cm；3.昆虫毒品直径7.7cm,高13cm。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0641F361">
            <w:pPr>
              <w:jc w:val="center"/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DC9871A">
            <w:pPr>
              <w:jc w:val="center"/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5</w:t>
            </w:r>
          </w:p>
        </w:tc>
        <w:tc>
          <w:tcPr>
            <w:tcW w:w="1418" w:type="dxa"/>
            <w:vMerge w:val="continue"/>
            <w:shd w:val="clear" w:color="auto" w:fill="FFFFFF"/>
            <w:vAlign w:val="center"/>
          </w:tcPr>
          <w:p w14:paraId="144F85C9">
            <w:pPr>
              <w:adjustRightInd w:val="0"/>
              <w:snapToGrid w:val="0"/>
              <w:spacing w:line="240" w:lineRule="exact"/>
              <w:jc w:val="center"/>
              <w:rPr>
                <w:rFonts w:ascii="华文楷体" w:hAnsi="华文楷体" w:eastAsia="华文楷体" w:cs="华文楷体"/>
                <w:sz w:val="22"/>
              </w:rPr>
            </w:pPr>
          </w:p>
        </w:tc>
      </w:tr>
      <w:tr w14:paraId="6A58A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 w:color="auto" w:fill="auto"/>
            <w:vAlign w:val="center"/>
          </w:tcPr>
          <w:p w14:paraId="49A7DDC2">
            <w:pPr>
              <w:jc w:val="center"/>
              <w:rPr>
                <w:rFonts w:hint="eastAsia" w:ascii="华文楷体" w:hAnsi="华文楷体" w:eastAsia="华文楷体" w:cs="华文楷体"/>
                <w:sz w:val="22"/>
                <w:lang w:val="en-US" w:eastAsia="zh-CN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6</w:t>
            </w:r>
          </w:p>
        </w:tc>
        <w:tc>
          <w:tcPr>
            <w:tcW w:w="1915" w:type="dxa"/>
            <w:shd w:val="clear" w:color="auto" w:fill="auto"/>
            <w:vAlign w:val="center"/>
          </w:tcPr>
          <w:p w14:paraId="73C9DAEA">
            <w:pPr>
              <w:jc w:val="left"/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抗药性实验耗材套装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7A7A38F6">
            <w:pPr>
              <w:jc w:val="left"/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含成蚊接触筒1套、锥形广口瓶1个、移蚊管1个、吸蚊管1套、0.3µL点滴器1个。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6CC0B3B4">
            <w:pPr>
              <w:jc w:val="center"/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73A4E1D">
            <w:pPr>
              <w:jc w:val="center"/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6</w:t>
            </w:r>
          </w:p>
        </w:tc>
        <w:tc>
          <w:tcPr>
            <w:tcW w:w="1418" w:type="dxa"/>
            <w:vMerge w:val="continue"/>
            <w:shd w:val="clear" w:color="auto" w:fill="FFFFFF"/>
            <w:vAlign w:val="center"/>
          </w:tcPr>
          <w:p w14:paraId="5DE95489">
            <w:pPr>
              <w:adjustRightInd w:val="0"/>
              <w:snapToGrid w:val="0"/>
              <w:spacing w:line="240" w:lineRule="exact"/>
              <w:jc w:val="center"/>
              <w:rPr>
                <w:rFonts w:ascii="华文楷体" w:hAnsi="华文楷体" w:eastAsia="华文楷体" w:cs="华文楷体"/>
                <w:sz w:val="22"/>
              </w:rPr>
            </w:pPr>
          </w:p>
        </w:tc>
      </w:tr>
      <w:tr w14:paraId="0C34C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 w:color="auto" w:fill="auto"/>
            <w:vAlign w:val="center"/>
          </w:tcPr>
          <w:p w14:paraId="6651F72E">
            <w:pPr>
              <w:jc w:val="center"/>
              <w:rPr>
                <w:rFonts w:hint="eastAsia" w:ascii="华文楷体" w:hAnsi="华文楷体" w:eastAsia="华文楷体" w:cs="华文楷体"/>
                <w:sz w:val="22"/>
                <w:lang w:val="en-US" w:eastAsia="zh-CN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7</w:t>
            </w:r>
          </w:p>
        </w:tc>
        <w:tc>
          <w:tcPr>
            <w:tcW w:w="1915" w:type="dxa"/>
            <w:shd w:val="clear" w:color="auto" w:fill="auto"/>
            <w:vAlign w:val="center"/>
          </w:tcPr>
          <w:p w14:paraId="16D723E7">
            <w:pPr>
              <w:jc w:val="left"/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方形双层叠帐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3685AD9A">
            <w:pPr>
              <w:jc w:val="left"/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外帐：1.8×1.8×1.5m；内帐：1.2×1.2×2.0m。含支架。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27585B93">
            <w:pPr>
              <w:jc w:val="center"/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F229783">
            <w:pPr>
              <w:jc w:val="center"/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4</w:t>
            </w:r>
          </w:p>
        </w:tc>
        <w:tc>
          <w:tcPr>
            <w:tcW w:w="1418" w:type="dxa"/>
            <w:vMerge w:val="continue"/>
            <w:shd w:val="clear" w:color="auto" w:fill="FFFFFF"/>
            <w:vAlign w:val="center"/>
          </w:tcPr>
          <w:p w14:paraId="4926777B">
            <w:pPr>
              <w:adjustRightInd w:val="0"/>
              <w:snapToGrid w:val="0"/>
              <w:spacing w:line="240" w:lineRule="exact"/>
              <w:jc w:val="center"/>
              <w:rPr>
                <w:rFonts w:ascii="华文楷体" w:hAnsi="华文楷体" w:eastAsia="华文楷体" w:cs="华文楷体"/>
                <w:sz w:val="22"/>
              </w:rPr>
            </w:pPr>
          </w:p>
        </w:tc>
      </w:tr>
      <w:tr w14:paraId="3AE95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 w:color="auto" w:fill="auto"/>
            <w:vAlign w:val="center"/>
          </w:tcPr>
          <w:p w14:paraId="514FE614">
            <w:pPr>
              <w:jc w:val="center"/>
              <w:rPr>
                <w:rFonts w:hint="eastAsia" w:ascii="华文楷体" w:hAnsi="华文楷体" w:eastAsia="华文楷体" w:cs="华文楷体"/>
                <w:sz w:val="22"/>
                <w:lang w:val="en-US" w:eastAsia="zh-CN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8</w:t>
            </w:r>
          </w:p>
        </w:tc>
        <w:tc>
          <w:tcPr>
            <w:tcW w:w="1915" w:type="dxa"/>
            <w:shd w:val="clear" w:color="auto" w:fill="auto"/>
            <w:vAlign w:val="center"/>
          </w:tcPr>
          <w:p w14:paraId="30B9EC1C">
            <w:pPr>
              <w:jc w:val="left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default" w:ascii="仿宋_GB2312" w:eastAsia="仿宋_GB2312"/>
                <w:spacing w:val="20"/>
                <w:kern w:val="10"/>
                <w:lang w:val="en-US" w:eastAsia="zh-CN"/>
              </w:rPr>
              <w:t>平底玻璃指形管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193F96CF">
            <w:pPr>
              <w:jc w:val="left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18*100mm，配软木塞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65E7B514">
            <w:pPr>
              <w:jc w:val="center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6C1B7BE">
            <w:pPr>
              <w:jc w:val="center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50</w:t>
            </w:r>
          </w:p>
        </w:tc>
        <w:tc>
          <w:tcPr>
            <w:tcW w:w="1418" w:type="dxa"/>
            <w:vMerge w:val="continue"/>
            <w:shd w:val="clear" w:color="auto" w:fill="FFFFFF"/>
            <w:vAlign w:val="center"/>
          </w:tcPr>
          <w:p w14:paraId="289A43FB">
            <w:pPr>
              <w:adjustRightInd w:val="0"/>
              <w:snapToGrid w:val="0"/>
              <w:spacing w:line="240" w:lineRule="exact"/>
              <w:jc w:val="center"/>
              <w:rPr>
                <w:rFonts w:ascii="华文楷体" w:hAnsi="华文楷体" w:eastAsia="华文楷体" w:cs="华文楷体"/>
                <w:sz w:val="22"/>
              </w:rPr>
            </w:pPr>
          </w:p>
        </w:tc>
      </w:tr>
    </w:tbl>
    <w:p w14:paraId="461E1F5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E857CD"/>
    <w:rsid w:val="002E2B80"/>
    <w:rsid w:val="007B0CA4"/>
    <w:rsid w:val="00906269"/>
    <w:rsid w:val="00A26944"/>
    <w:rsid w:val="00F26C89"/>
    <w:rsid w:val="079D56A6"/>
    <w:rsid w:val="20117F78"/>
    <w:rsid w:val="2B6C1178"/>
    <w:rsid w:val="69E857CD"/>
    <w:rsid w:val="70EC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Body Text First Indent"/>
    <w:basedOn w:val="3"/>
    <w:qFormat/>
    <w:uiPriority w:val="0"/>
    <w:pPr>
      <w:spacing w:line="360" w:lineRule="auto"/>
      <w:ind w:firstLine="420"/>
    </w:pPr>
    <w:rPr>
      <w:rFonts w:ascii="宋体" w:hAnsi="宋体"/>
      <w:sz w:val="24"/>
    </w:rPr>
  </w:style>
  <w:style w:type="character" w:customStyle="1" w:styleId="7">
    <w:name w:val="font21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240</Words>
  <Characters>286</Characters>
  <Lines>4</Lines>
  <Paragraphs>1</Paragraphs>
  <TotalTime>0</TotalTime>
  <ScaleCrop>false</ScaleCrop>
  <LinksUpToDate>false</LinksUpToDate>
  <CharactersWithSpaces>286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2025-05-14T08:16:00Z</dcterms:created>
  <dc:creator>灿</dc:creator>
  <cp:lastModifiedBy>唐磊</cp:lastModifiedBy>
  <dcterms:modified xsi:type="dcterms:W3CDTF">2025-09-26T00:27:32Z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F30C42B548BC4FEC8014144133D0E41F_11</vt:lpwstr>
  </property>
  <property fmtid="{D5CDD505-2E9C-101B-9397-08002B2CF9AE}" pid="4" name="KSOTemplateDocerSaveRecord">
    <vt:lpwstr>eyJoZGlkIjoiMGVlYWY0MWQ3N2NhYWRmMzllNjY1YTRjZDk4ZDZhYzciLCJ1c2VySWQiOiIyNzU5OTI1MzEifQ==</vt:lpwstr>
  </property>
</Properties>
</file>