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359354">
      <w:pPr>
        <w:pStyle w:val="2"/>
        <w:bidi w:val="0"/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采购需求</w:t>
      </w:r>
    </w:p>
    <w:p w14:paraId="5FE9E78E">
      <w:pPr>
        <w:rPr>
          <w:rFonts w:hint="eastAsia"/>
          <w:lang w:val="en-US" w:eastAsia="zh-CN"/>
        </w:rPr>
      </w:pPr>
    </w:p>
    <w:p w14:paraId="07F88341">
      <w:pPr>
        <w:spacing w:line="312" w:lineRule="auto"/>
        <w:rPr>
          <w:rFonts w:ascii="黑体" w:hAnsi="黑体" w:eastAsia="黑体" w:cs="黑体"/>
          <w:b/>
          <w:bCs/>
          <w:sz w:val="32"/>
          <w:szCs w:val="32"/>
        </w:rPr>
      </w:pPr>
    </w:p>
    <w:tbl>
      <w:tblPr>
        <w:tblStyle w:val="5"/>
        <w:tblW w:w="808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6"/>
        <w:gridCol w:w="1915"/>
        <w:gridCol w:w="2648"/>
        <w:gridCol w:w="964"/>
        <w:gridCol w:w="900"/>
        <w:gridCol w:w="1144"/>
      </w:tblGrid>
      <w:tr w14:paraId="32C38B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6" w:type="dxa"/>
            <w:noWrap w:val="0"/>
            <w:vAlign w:val="center"/>
          </w:tcPr>
          <w:p w14:paraId="22213812">
            <w:pPr>
              <w:pStyle w:val="3"/>
              <w:rPr>
                <w:rFonts w:ascii="华文楷体" w:hAnsi="华文楷体" w:eastAsia="华文楷体" w:cs="华文楷体"/>
                <w:sz w:val="30"/>
                <w:szCs w:val="30"/>
              </w:rPr>
            </w:pPr>
            <w:r>
              <w:rPr>
                <w:rFonts w:hint="eastAsia" w:ascii="华文楷体" w:hAnsi="华文楷体" w:eastAsia="华文楷体" w:cs="华文楷体"/>
                <w:sz w:val="30"/>
                <w:szCs w:val="30"/>
              </w:rPr>
              <w:t>序号</w:t>
            </w:r>
          </w:p>
        </w:tc>
        <w:tc>
          <w:tcPr>
            <w:tcW w:w="1915" w:type="dxa"/>
            <w:noWrap w:val="0"/>
            <w:vAlign w:val="center"/>
          </w:tcPr>
          <w:p w14:paraId="69B2EA71">
            <w:pPr>
              <w:pStyle w:val="3"/>
              <w:jc w:val="center"/>
              <w:rPr>
                <w:rFonts w:ascii="华文楷体" w:hAnsi="华文楷体" w:eastAsia="华文楷体" w:cs="华文楷体"/>
                <w:sz w:val="30"/>
                <w:szCs w:val="30"/>
              </w:rPr>
            </w:pPr>
            <w:r>
              <w:rPr>
                <w:rFonts w:hint="eastAsia" w:ascii="华文楷体" w:hAnsi="华文楷体" w:eastAsia="华文楷体" w:cs="华文楷体"/>
                <w:sz w:val="30"/>
                <w:szCs w:val="30"/>
              </w:rPr>
              <w:t>货品名称</w:t>
            </w:r>
          </w:p>
        </w:tc>
        <w:tc>
          <w:tcPr>
            <w:tcW w:w="2648" w:type="dxa"/>
            <w:noWrap w:val="0"/>
            <w:vAlign w:val="center"/>
          </w:tcPr>
          <w:p w14:paraId="3DD81A40">
            <w:pPr>
              <w:pStyle w:val="3"/>
              <w:jc w:val="center"/>
              <w:rPr>
                <w:rFonts w:ascii="华文楷体" w:hAnsi="华文楷体" w:eastAsia="华文楷体" w:cs="华文楷体"/>
                <w:sz w:val="30"/>
                <w:szCs w:val="30"/>
              </w:rPr>
            </w:pPr>
            <w:r>
              <w:rPr>
                <w:rFonts w:hint="eastAsia" w:ascii="华文楷体" w:hAnsi="华文楷体" w:eastAsia="华文楷体" w:cs="华文楷体"/>
                <w:sz w:val="30"/>
                <w:szCs w:val="30"/>
              </w:rPr>
              <w:t>规格及技术参数</w:t>
            </w:r>
          </w:p>
        </w:tc>
        <w:tc>
          <w:tcPr>
            <w:tcW w:w="964" w:type="dxa"/>
            <w:noWrap w:val="0"/>
            <w:vAlign w:val="center"/>
          </w:tcPr>
          <w:p w14:paraId="08FB7C61">
            <w:pPr>
              <w:pStyle w:val="3"/>
              <w:jc w:val="center"/>
              <w:rPr>
                <w:rFonts w:ascii="华文楷体" w:hAnsi="华文楷体" w:eastAsia="华文楷体" w:cs="华文楷体"/>
                <w:sz w:val="30"/>
                <w:szCs w:val="30"/>
              </w:rPr>
            </w:pPr>
            <w:r>
              <w:rPr>
                <w:rFonts w:hint="eastAsia" w:ascii="华文楷体" w:hAnsi="华文楷体" w:eastAsia="华文楷体" w:cs="华文楷体"/>
                <w:sz w:val="30"/>
                <w:szCs w:val="30"/>
              </w:rPr>
              <w:t>单位</w:t>
            </w:r>
          </w:p>
        </w:tc>
        <w:tc>
          <w:tcPr>
            <w:tcW w:w="900" w:type="dxa"/>
            <w:noWrap w:val="0"/>
            <w:vAlign w:val="center"/>
          </w:tcPr>
          <w:p w14:paraId="211025E5">
            <w:pPr>
              <w:pStyle w:val="3"/>
              <w:jc w:val="center"/>
              <w:rPr>
                <w:rFonts w:ascii="华文楷体" w:hAnsi="华文楷体" w:eastAsia="华文楷体" w:cs="华文楷体"/>
                <w:sz w:val="30"/>
                <w:szCs w:val="30"/>
              </w:rPr>
            </w:pPr>
            <w:r>
              <w:rPr>
                <w:rFonts w:hint="eastAsia" w:ascii="华文楷体" w:hAnsi="华文楷体" w:eastAsia="华文楷体" w:cs="华文楷体"/>
                <w:sz w:val="30"/>
                <w:szCs w:val="30"/>
              </w:rPr>
              <w:t>数量</w:t>
            </w:r>
          </w:p>
        </w:tc>
        <w:tc>
          <w:tcPr>
            <w:tcW w:w="1144" w:type="dxa"/>
            <w:noWrap w:val="0"/>
            <w:vAlign w:val="center"/>
          </w:tcPr>
          <w:p w14:paraId="1C907A06">
            <w:pPr>
              <w:pStyle w:val="3"/>
              <w:jc w:val="center"/>
            </w:pPr>
            <w:r>
              <w:rPr>
                <w:rFonts w:hint="eastAsia" w:ascii="华文楷体" w:hAnsi="华文楷体" w:eastAsia="华文楷体" w:cs="华文楷体"/>
                <w:sz w:val="30"/>
                <w:szCs w:val="30"/>
                <w:lang w:val="en-US" w:eastAsia="zh-CN"/>
              </w:rPr>
              <w:t>预算</w:t>
            </w:r>
            <w:r>
              <w:rPr>
                <w:rFonts w:hint="eastAsia" w:ascii="华文楷体" w:hAnsi="华文楷体" w:eastAsia="华文楷体" w:cs="华文楷体"/>
                <w:sz w:val="30"/>
                <w:szCs w:val="30"/>
              </w:rPr>
              <w:t>总额</w:t>
            </w:r>
          </w:p>
          <w:p w14:paraId="3D3F0C6B">
            <w:pPr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="宋体" w:hAnsi="宋体" w:eastAsia="宋体" w:cs="宋体"/>
              </w:rPr>
              <w:t>(</w:t>
            </w:r>
            <w:r>
              <w:rPr>
                <w:rFonts w:hint="eastAsia" w:ascii="宋体" w:hAnsi="宋体" w:eastAsia="宋体" w:cs="宋体"/>
                <w:lang w:val="en-US" w:eastAsia="zh-CN"/>
              </w:rPr>
              <w:t>元</w:t>
            </w:r>
            <w:r>
              <w:rPr>
                <w:rFonts w:hint="eastAsia" w:ascii="宋体" w:hAnsi="宋体" w:eastAsia="宋体" w:cs="宋体"/>
              </w:rPr>
              <w:t>)</w:t>
            </w:r>
          </w:p>
        </w:tc>
      </w:tr>
      <w:tr w14:paraId="16D4F7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516" w:type="dxa"/>
            <w:noWrap w:val="0"/>
            <w:vAlign w:val="center"/>
          </w:tcPr>
          <w:p w14:paraId="0EFAAAC2">
            <w:pPr>
              <w:widowControl/>
              <w:jc w:val="right"/>
              <w:textAlignment w:val="center"/>
              <w:rPr>
                <w:rFonts w:hint="eastAsia" w:ascii="仿宋" w:hAnsi="仿宋" w:eastAsia="仿宋"/>
                <w:szCs w:val="21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1915" w:type="dxa"/>
            <w:noWrap w:val="0"/>
            <w:vAlign w:val="center"/>
          </w:tcPr>
          <w:p w14:paraId="3C6BBE27">
            <w:pPr>
              <w:widowControl/>
              <w:jc w:val="center"/>
              <w:textAlignment w:val="center"/>
              <w:rPr>
                <w:rFonts w:ascii="华文楷体" w:hAnsi="华文楷体" w:eastAsia="华文楷体" w:cs="华文楷体"/>
                <w:sz w:val="22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</w:rPr>
              <w:t>萃取盐包</w:t>
            </w:r>
          </w:p>
        </w:tc>
        <w:tc>
          <w:tcPr>
            <w:tcW w:w="2648" w:type="dxa"/>
            <w:noWrap w:val="0"/>
            <w:vAlign w:val="center"/>
          </w:tcPr>
          <w:p w14:paraId="1B193870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sz w:val="22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</w:rPr>
              <w:t>QuEChERS 萃取盐，带管，EN方法，50/包</w:t>
            </w:r>
            <w:r>
              <w:rPr>
                <w:rFonts w:hint="eastAsia" w:ascii="宋体" w:hAnsi="宋体" w:cs="宋体"/>
                <w:color w:val="000000"/>
                <w:sz w:val="20"/>
                <w:szCs w:val="20"/>
                <w:lang w:eastAsia="zh-CN"/>
              </w:rPr>
              <w:t>。</w:t>
            </w:r>
          </w:p>
        </w:tc>
        <w:tc>
          <w:tcPr>
            <w:tcW w:w="964" w:type="dxa"/>
            <w:noWrap w:val="0"/>
            <w:vAlign w:val="center"/>
          </w:tcPr>
          <w:p w14:paraId="3C554C82">
            <w:pPr>
              <w:widowControl/>
              <w:jc w:val="center"/>
              <w:textAlignment w:val="center"/>
              <w:rPr>
                <w:sz w:val="22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</w:rPr>
              <w:t>包</w:t>
            </w:r>
          </w:p>
        </w:tc>
        <w:tc>
          <w:tcPr>
            <w:tcW w:w="900" w:type="dxa"/>
            <w:noWrap w:val="0"/>
            <w:vAlign w:val="center"/>
          </w:tcPr>
          <w:p w14:paraId="60799DBF">
            <w:pPr>
              <w:widowControl/>
              <w:jc w:val="center"/>
              <w:textAlignment w:val="center"/>
              <w:rPr>
                <w:sz w:val="22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  <w:lang w:eastAsia="zh-CN"/>
              </w:rPr>
              <w:t>10</w:t>
            </w:r>
          </w:p>
        </w:tc>
        <w:tc>
          <w:tcPr>
            <w:tcW w:w="1144" w:type="dxa"/>
            <w:vMerge w:val="restart"/>
            <w:noWrap w:val="0"/>
            <w:vAlign w:val="center"/>
          </w:tcPr>
          <w:p w14:paraId="6750AEDE">
            <w:pPr>
              <w:widowControl/>
              <w:jc w:val="center"/>
              <w:textAlignment w:val="center"/>
              <w:rPr>
                <w:rFonts w:hint="default" w:ascii="华文楷体" w:hAnsi="华文楷体" w:eastAsia="华文楷体" w:cs="华文楷体"/>
                <w:sz w:val="22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49450</w:t>
            </w:r>
          </w:p>
        </w:tc>
      </w:tr>
      <w:tr w14:paraId="1D095E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516" w:type="dxa"/>
            <w:noWrap w:val="0"/>
            <w:vAlign w:val="center"/>
          </w:tcPr>
          <w:p w14:paraId="320B621A">
            <w:pPr>
              <w:widowControl/>
              <w:jc w:val="right"/>
              <w:textAlignment w:val="center"/>
              <w:rPr>
                <w:rFonts w:hint="eastAsia" w:ascii="仿宋" w:hAnsi="仿宋" w:eastAsia="仿宋"/>
                <w:szCs w:val="21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1915" w:type="dxa"/>
            <w:noWrap w:val="0"/>
            <w:vAlign w:val="center"/>
          </w:tcPr>
          <w:p w14:paraId="1B3833C6">
            <w:pPr>
              <w:widowControl/>
              <w:jc w:val="center"/>
              <w:textAlignment w:val="center"/>
              <w:rPr>
                <w:rFonts w:ascii="华文楷体" w:hAnsi="华文楷体" w:eastAsia="华文楷体" w:cs="华文楷体"/>
                <w:sz w:val="22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</w:rPr>
              <w:t>净化管</w:t>
            </w:r>
          </w:p>
        </w:tc>
        <w:tc>
          <w:tcPr>
            <w:tcW w:w="2648" w:type="dxa"/>
            <w:noWrap w:val="0"/>
            <w:vAlign w:val="center"/>
          </w:tcPr>
          <w:p w14:paraId="5966B24E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sz w:val="22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</w:rPr>
              <w:t>固相萃取柱,15mL分散SPE试剂盒，分析含脂肪和蜡质的水果和蔬菜，EN方法</w:t>
            </w:r>
            <w:r>
              <w:rPr>
                <w:rFonts w:hint="eastAsia" w:ascii="宋体" w:hAnsi="宋体" w:cs="宋体"/>
                <w:color w:val="000000"/>
                <w:sz w:val="20"/>
                <w:szCs w:val="20"/>
                <w:lang w:eastAsia="zh-CN"/>
              </w:rPr>
              <w:t>。</w:t>
            </w:r>
          </w:p>
        </w:tc>
        <w:tc>
          <w:tcPr>
            <w:tcW w:w="964" w:type="dxa"/>
            <w:noWrap w:val="0"/>
            <w:vAlign w:val="center"/>
          </w:tcPr>
          <w:p w14:paraId="6DEAAD64">
            <w:pPr>
              <w:widowControl/>
              <w:jc w:val="center"/>
              <w:textAlignment w:val="center"/>
              <w:rPr>
                <w:sz w:val="22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</w:rPr>
              <w:t>包</w:t>
            </w:r>
          </w:p>
        </w:tc>
        <w:tc>
          <w:tcPr>
            <w:tcW w:w="900" w:type="dxa"/>
            <w:noWrap w:val="0"/>
            <w:vAlign w:val="center"/>
          </w:tcPr>
          <w:p w14:paraId="5AF81580">
            <w:pPr>
              <w:widowControl/>
              <w:jc w:val="center"/>
              <w:textAlignment w:val="center"/>
              <w:rPr>
                <w:sz w:val="22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44" w:type="dxa"/>
            <w:vMerge w:val="continue"/>
            <w:noWrap w:val="0"/>
            <w:vAlign w:val="center"/>
          </w:tcPr>
          <w:p w14:paraId="7A57288D">
            <w:pPr>
              <w:widowControl/>
              <w:jc w:val="center"/>
              <w:textAlignment w:val="top"/>
              <w:rPr>
                <w:rFonts w:hint="eastAsia" w:ascii="华文楷体" w:hAnsi="华文楷体" w:eastAsia="华文楷体" w:cs="华文楷体"/>
                <w:sz w:val="22"/>
              </w:rPr>
            </w:pPr>
          </w:p>
        </w:tc>
      </w:tr>
      <w:tr w14:paraId="6830C9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516" w:type="dxa"/>
            <w:noWrap w:val="0"/>
            <w:vAlign w:val="center"/>
          </w:tcPr>
          <w:p w14:paraId="06F11308">
            <w:pPr>
              <w:widowControl/>
              <w:jc w:val="right"/>
              <w:textAlignment w:val="center"/>
              <w:rPr>
                <w:rFonts w:hint="eastAsia" w:ascii="华文楷体" w:hAnsi="华文楷体" w:eastAsia="华文楷体" w:cs="华文楷体"/>
                <w:sz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1915" w:type="dxa"/>
            <w:noWrap w:val="0"/>
            <w:vAlign w:val="center"/>
          </w:tcPr>
          <w:p w14:paraId="23E3F345">
            <w:pPr>
              <w:widowControl/>
              <w:jc w:val="center"/>
              <w:textAlignment w:val="center"/>
              <w:rPr>
                <w:rFonts w:ascii="华文楷体" w:hAnsi="华文楷体" w:eastAsia="华文楷体" w:cs="华文楷体"/>
                <w:sz w:val="22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</w:rPr>
              <w:t>净化管</w:t>
            </w:r>
          </w:p>
        </w:tc>
        <w:tc>
          <w:tcPr>
            <w:tcW w:w="2648" w:type="dxa"/>
            <w:noWrap w:val="0"/>
            <w:vAlign w:val="center"/>
          </w:tcPr>
          <w:p w14:paraId="2C82F303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sz w:val="22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</w:rPr>
              <w:t>固相萃取柱,15mL分散SPE试剂盒，分析含脂肪和蜡质的水果和蔬菜，EN方法</w:t>
            </w:r>
            <w:r>
              <w:rPr>
                <w:rFonts w:hint="eastAsia" w:ascii="宋体" w:hAnsi="宋体" w:cs="宋体"/>
                <w:color w:val="000000"/>
                <w:sz w:val="20"/>
                <w:szCs w:val="20"/>
                <w:lang w:eastAsia="zh-CN"/>
              </w:rPr>
              <w:t>。</w:t>
            </w:r>
          </w:p>
        </w:tc>
        <w:tc>
          <w:tcPr>
            <w:tcW w:w="964" w:type="dxa"/>
            <w:noWrap w:val="0"/>
            <w:vAlign w:val="center"/>
          </w:tcPr>
          <w:p w14:paraId="74A93189">
            <w:pPr>
              <w:widowControl/>
              <w:jc w:val="center"/>
              <w:textAlignment w:val="center"/>
              <w:rPr>
                <w:sz w:val="22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</w:rPr>
              <w:t>包</w:t>
            </w:r>
          </w:p>
        </w:tc>
        <w:tc>
          <w:tcPr>
            <w:tcW w:w="900" w:type="dxa"/>
            <w:noWrap w:val="0"/>
            <w:vAlign w:val="center"/>
          </w:tcPr>
          <w:p w14:paraId="6CC96704">
            <w:pPr>
              <w:widowControl/>
              <w:jc w:val="center"/>
              <w:textAlignment w:val="center"/>
              <w:rPr>
                <w:sz w:val="22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  <w:lang w:eastAsia="zh-CN"/>
              </w:rPr>
              <w:t>10</w:t>
            </w:r>
          </w:p>
        </w:tc>
        <w:tc>
          <w:tcPr>
            <w:tcW w:w="1144" w:type="dxa"/>
            <w:vMerge w:val="continue"/>
            <w:noWrap w:val="0"/>
            <w:vAlign w:val="center"/>
          </w:tcPr>
          <w:p w14:paraId="7A5A6292">
            <w:pPr>
              <w:widowControl/>
              <w:jc w:val="center"/>
              <w:textAlignment w:val="center"/>
              <w:rPr>
                <w:rFonts w:hint="eastAsia" w:ascii="华文楷体" w:hAnsi="华文楷体" w:eastAsia="华文楷体" w:cs="华文楷体"/>
                <w:sz w:val="22"/>
              </w:rPr>
            </w:pPr>
          </w:p>
        </w:tc>
      </w:tr>
      <w:tr w14:paraId="6611DC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516" w:type="dxa"/>
            <w:noWrap w:val="0"/>
            <w:vAlign w:val="center"/>
          </w:tcPr>
          <w:p w14:paraId="4CFDFC0B">
            <w:pPr>
              <w:widowControl/>
              <w:jc w:val="right"/>
              <w:textAlignment w:val="center"/>
              <w:rPr>
                <w:rFonts w:hint="eastAsia" w:ascii="仿宋" w:hAnsi="仿宋" w:eastAsia="仿宋"/>
                <w:szCs w:val="21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1915" w:type="dxa"/>
            <w:noWrap w:val="0"/>
            <w:vAlign w:val="center"/>
          </w:tcPr>
          <w:p w14:paraId="3341A840">
            <w:pPr>
              <w:widowControl/>
              <w:jc w:val="center"/>
              <w:textAlignment w:val="center"/>
              <w:rPr>
                <w:rFonts w:ascii="华文楷体" w:hAnsi="华文楷体" w:eastAsia="华文楷体" w:cs="华文楷体"/>
                <w:sz w:val="22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</w:rPr>
              <w:t>气相色谱进样衬管</w:t>
            </w:r>
          </w:p>
        </w:tc>
        <w:tc>
          <w:tcPr>
            <w:tcW w:w="2648" w:type="dxa"/>
            <w:noWrap w:val="0"/>
            <w:vAlign w:val="center"/>
          </w:tcPr>
          <w:p w14:paraId="2544157E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sz w:val="22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</w:rPr>
              <w:t>进样衬管,衬管，Helix 单锥形，脱活</w:t>
            </w:r>
            <w:r>
              <w:rPr>
                <w:rFonts w:hint="eastAsia" w:ascii="宋体" w:hAnsi="宋体" w:cs="宋体"/>
                <w:color w:val="000000"/>
                <w:sz w:val="20"/>
                <w:szCs w:val="20"/>
                <w:lang w:eastAsia="zh-CN"/>
              </w:rPr>
              <w:t>。</w:t>
            </w:r>
          </w:p>
        </w:tc>
        <w:tc>
          <w:tcPr>
            <w:tcW w:w="964" w:type="dxa"/>
            <w:noWrap w:val="0"/>
            <w:vAlign w:val="center"/>
          </w:tcPr>
          <w:p w14:paraId="369A882C">
            <w:pPr>
              <w:widowControl/>
              <w:jc w:val="center"/>
              <w:textAlignment w:val="center"/>
              <w:rPr>
                <w:sz w:val="22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</w:rPr>
              <w:t>个</w:t>
            </w:r>
          </w:p>
        </w:tc>
        <w:tc>
          <w:tcPr>
            <w:tcW w:w="900" w:type="dxa"/>
            <w:noWrap w:val="0"/>
            <w:vAlign w:val="center"/>
          </w:tcPr>
          <w:p w14:paraId="1F419916">
            <w:pPr>
              <w:widowControl/>
              <w:jc w:val="center"/>
              <w:textAlignment w:val="center"/>
              <w:rPr>
                <w:sz w:val="22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  <w:lang w:eastAsia="zh-CN"/>
              </w:rPr>
              <w:t>5</w:t>
            </w:r>
          </w:p>
        </w:tc>
        <w:tc>
          <w:tcPr>
            <w:tcW w:w="1144" w:type="dxa"/>
            <w:vMerge w:val="continue"/>
            <w:noWrap w:val="0"/>
            <w:vAlign w:val="center"/>
          </w:tcPr>
          <w:p w14:paraId="4CB030AF">
            <w:pPr>
              <w:widowControl/>
              <w:jc w:val="both"/>
              <w:textAlignment w:val="top"/>
              <w:rPr>
                <w:rFonts w:hint="eastAsia" w:ascii="华文楷体" w:hAnsi="华文楷体" w:eastAsia="华文楷体" w:cs="华文楷体"/>
                <w:sz w:val="22"/>
              </w:rPr>
            </w:pPr>
          </w:p>
        </w:tc>
      </w:tr>
    </w:tbl>
    <w:p w14:paraId="5873A8D0">
      <w:pPr>
        <w:rPr>
          <w:rFonts w:hint="eastAsia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I3MDYxOWI2MThhODcxNGYwOGE1YTNjMzg5OGMyOWUifQ=="/>
  </w:docVars>
  <w:rsids>
    <w:rsidRoot w:val="69E857CD"/>
    <w:rsid w:val="20117F78"/>
    <w:rsid w:val="37D749F7"/>
    <w:rsid w:val="69E85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1"/>
    <w:qFormat/>
    <w:uiPriority w:val="0"/>
    <w:pPr>
      <w:spacing w:after="120"/>
    </w:pPr>
  </w:style>
  <w:style w:type="paragraph" w:styleId="4">
    <w:name w:val="Body Text First Indent"/>
    <w:basedOn w:val="3"/>
    <w:qFormat/>
    <w:uiPriority w:val="0"/>
    <w:pPr>
      <w:spacing w:line="360" w:lineRule="auto"/>
      <w:ind w:firstLine="420"/>
    </w:pPr>
    <w:rPr>
      <w:rFonts w:ascii="宋体" w:hAnsi="宋体"/>
      <w:sz w:val="24"/>
    </w:rPr>
  </w:style>
  <w:style w:type="character" w:customStyle="1" w:styleId="7">
    <w:name w:val="font21"/>
    <w:qFormat/>
    <w:uiPriority w:val="0"/>
    <w:rPr>
      <w:rFonts w:hint="eastAsia" w:ascii="仿宋" w:hAnsi="仿宋" w:eastAsia="仿宋" w:cs="仿宋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28</Words>
  <Characters>28</Characters>
  <Lines>0</Lines>
  <Paragraphs>0</Paragraphs>
  <TotalTime>0</TotalTime>
  <ScaleCrop>false</ScaleCrop>
  <LinksUpToDate>false</LinksUpToDate>
  <CharactersWithSpaces>28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2025-05-14T08:16:00Z</dcterms:created>
  <dc:creator>灿</dc:creator>
  <cp:lastModifiedBy>DELL</cp:lastModifiedBy>
  <dcterms:modified xsi:type="dcterms:W3CDTF">2026-06-15T08:25:52Z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D517A55C09A34E709E1C4A7A61DC7D78_13</vt:lpwstr>
  </property>
  <property fmtid="{D5CDD505-2E9C-101B-9397-08002B2CF9AE}" pid="4" name="KSOTemplateDocerSaveRecord">
    <vt:lpwstr>eyJoZGlkIjoiYzQxNzc2MDg1YTQyZmFkOTA0MzY4NWVlZTdhYjU5YjYifQ==</vt:lpwstr>
  </property>
</Properties>
</file>