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E3876D">
      <w:pPr>
        <w:pStyle w:val="2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采购需求</w:t>
      </w:r>
    </w:p>
    <w:p w14:paraId="01DAF983">
      <w:pPr>
        <w:rPr>
          <w:rFonts w:hint="eastAsia"/>
          <w:lang w:val="en-US" w:eastAsia="zh-CN"/>
        </w:rPr>
      </w:pPr>
    </w:p>
    <w:p w14:paraId="7F28C1C7">
      <w:pPr>
        <w:spacing w:line="312" w:lineRule="auto"/>
        <w:rPr>
          <w:rFonts w:ascii="黑体" w:hAnsi="黑体" w:eastAsia="黑体" w:cs="黑体"/>
          <w:b/>
          <w:bCs/>
          <w:sz w:val="32"/>
          <w:szCs w:val="32"/>
        </w:rPr>
      </w:pPr>
    </w:p>
    <w:tbl>
      <w:tblPr>
        <w:tblStyle w:val="5"/>
        <w:tblW w:w="80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1915"/>
        <w:gridCol w:w="2648"/>
        <w:gridCol w:w="964"/>
        <w:gridCol w:w="900"/>
        <w:gridCol w:w="1144"/>
      </w:tblGrid>
      <w:tr w14:paraId="28816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" w:type="dxa"/>
            <w:noWrap w:val="0"/>
            <w:vAlign w:val="center"/>
          </w:tcPr>
          <w:p w14:paraId="6A0CDE1C">
            <w:pPr>
              <w:pStyle w:val="3"/>
              <w:rPr>
                <w:rFonts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序号</w:t>
            </w:r>
          </w:p>
        </w:tc>
        <w:tc>
          <w:tcPr>
            <w:tcW w:w="1915" w:type="dxa"/>
            <w:noWrap w:val="0"/>
            <w:vAlign w:val="center"/>
          </w:tcPr>
          <w:p w14:paraId="0251980D">
            <w:pPr>
              <w:pStyle w:val="3"/>
              <w:jc w:val="center"/>
              <w:rPr>
                <w:rFonts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货品名称</w:t>
            </w:r>
          </w:p>
        </w:tc>
        <w:tc>
          <w:tcPr>
            <w:tcW w:w="2648" w:type="dxa"/>
            <w:noWrap w:val="0"/>
            <w:vAlign w:val="center"/>
          </w:tcPr>
          <w:p w14:paraId="4C73838D">
            <w:pPr>
              <w:pStyle w:val="3"/>
              <w:jc w:val="center"/>
              <w:rPr>
                <w:rFonts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规格及技术参数</w:t>
            </w:r>
          </w:p>
        </w:tc>
        <w:tc>
          <w:tcPr>
            <w:tcW w:w="964" w:type="dxa"/>
            <w:noWrap w:val="0"/>
            <w:vAlign w:val="center"/>
          </w:tcPr>
          <w:p w14:paraId="178C2F40">
            <w:pPr>
              <w:pStyle w:val="3"/>
              <w:jc w:val="center"/>
              <w:rPr>
                <w:rFonts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单位</w:t>
            </w:r>
          </w:p>
        </w:tc>
        <w:tc>
          <w:tcPr>
            <w:tcW w:w="900" w:type="dxa"/>
            <w:noWrap w:val="0"/>
            <w:vAlign w:val="center"/>
          </w:tcPr>
          <w:p w14:paraId="470131E7">
            <w:pPr>
              <w:pStyle w:val="3"/>
              <w:jc w:val="center"/>
              <w:rPr>
                <w:rFonts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数量</w:t>
            </w:r>
          </w:p>
        </w:tc>
        <w:tc>
          <w:tcPr>
            <w:tcW w:w="1144" w:type="dxa"/>
            <w:noWrap w:val="0"/>
            <w:vAlign w:val="center"/>
          </w:tcPr>
          <w:p w14:paraId="33D0940E">
            <w:pPr>
              <w:pStyle w:val="3"/>
              <w:jc w:val="center"/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  <w:lang w:val="en-US" w:eastAsia="zh-CN"/>
              </w:rPr>
              <w:t>预算</w:t>
            </w: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总额</w:t>
            </w:r>
          </w:p>
          <w:p w14:paraId="73767763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="宋体" w:hAnsi="宋体" w:eastAsia="宋体" w:cs="宋体"/>
              </w:rPr>
              <w:t>(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元</w:t>
            </w:r>
            <w:r>
              <w:rPr>
                <w:rFonts w:hint="eastAsia" w:ascii="宋体" w:hAnsi="宋体" w:eastAsia="宋体" w:cs="宋体"/>
              </w:rPr>
              <w:t>)</w:t>
            </w:r>
          </w:p>
        </w:tc>
      </w:tr>
      <w:tr w14:paraId="3DD30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16" w:type="dxa"/>
            <w:noWrap w:val="0"/>
            <w:vAlign w:val="center"/>
          </w:tcPr>
          <w:p w14:paraId="37790857"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1</w:t>
            </w:r>
          </w:p>
        </w:tc>
        <w:tc>
          <w:tcPr>
            <w:tcW w:w="1915" w:type="dxa"/>
            <w:noWrap w:val="0"/>
            <w:vAlign w:val="top"/>
          </w:tcPr>
          <w:p w14:paraId="5C2F63AB">
            <w:pPr>
              <w:jc w:val="center"/>
              <w:rPr>
                <w:rFonts w:ascii="华文楷体" w:hAnsi="华文楷体" w:eastAsia="华文楷体" w:cs="华文楷体"/>
                <w:sz w:val="22"/>
              </w:rPr>
            </w:pPr>
            <w:r>
              <w:rPr>
                <w:rFonts w:hint="eastAsia" w:ascii="仿宋_GB2312" w:eastAsia="仿宋_GB2312"/>
                <w:spacing w:val="20"/>
                <w:kern w:val="10"/>
              </w:rPr>
              <w:t>液氮</w:t>
            </w:r>
          </w:p>
        </w:tc>
        <w:tc>
          <w:tcPr>
            <w:tcW w:w="2648" w:type="dxa"/>
            <w:noWrap w:val="0"/>
            <w:vAlign w:val="center"/>
          </w:tcPr>
          <w:p w14:paraId="6E1C79BF">
            <w:pPr>
              <w:jc w:val="both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/>
                <w:lang w:val="en-US" w:eastAsia="zh-CN"/>
              </w:rPr>
              <w:t>净体积，不含转移过程热挥发部分。每次100L，分30次供应</w:t>
            </w:r>
          </w:p>
        </w:tc>
        <w:tc>
          <w:tcPr>
            <w:tcW w:w="964" w:type="dxa"/>
            <w:noWrap w:val="0"/>
            <w:vAlign w:val="center"/>
          </w:tcPr>
          <w:p w14:paraId="2A37DB7B">
            <w:pPr>
              <w:jc w:val="center"/>
              <w:rPr>
                <w:sz w:val="22"/>
              </w:rPr>
            </w:pPr>
            <w:r>
              <w:rPr>
                <w:rFonts w:hint="eastAsia" w:ascii="仿宋_GB2312" w:eastAsia="仿宋_GB2312"/>
                <w:spacing w:val="20"/>
                <w:kern w:val="10"/>
              </w:rPr>
              <w:t>升</w:t>
            </w:r>
          </w:p>
        </w:tc>
        <w:tc>
          <w:tcPr>
            <w:tcW w:w="900" w:type="dxa"/>
            <w:noWrap w:val="0"/>
            <w:vAlign w:val="center"/>
          </w:tcPr>
          <w:p w14:paraId="78F21F84">
            <w:pPr>
              <w:jc w:val="center"/>
              <w:rPr>
                <w:sz w:val="22"/>
              </w:rPr>
            </w:pPr>
            <w:r>
              <w:rPr>
                <w:rFonts w:hint="eastAsia" w:ascii="仿宋_GB2312" w:eastAsia="仿宋_GB2312"/>
                <w:szCs w:val="21"/>
              </w:rPr>
              <w:t>3000</w:t>
            </w:r>
          </w:p>
        </w:tc>
        <w:tc>
          <w:tcPr>
            <w:tcW w:w="1144" w:type="dxa"/>
            <w:vMerge w:val="restart"/>
            <w:noWrap w:val="0"/>
            <w:vAlign w:val="center"/>
          </w:tcPr>
          <w:p w14:paraId="1C03E171">
            <w:pPr>
              <w:widowControl/>
              <w:jc w:val="center"/>
              <w:textAlignment w:val="center"/>
              <w:rPr>
                <w:rFonts w:hint="default" w:ascii="华文楷体" w:hAnsi="华文楷体" w:eastAsia="华文楷体" w:cs="华文楷体"/>
                <w:sz w:val="22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lang w:val="en-US" w:eastAsia="zh-CN"/>
              </w:rPr>
              <w:t>53800</w:t>
            </w:r>
            <w:bookmarkStart w:id="0" w:name="_GoBack"/>
            <w:bookmarkEnd w:id="0"/>
          </w:p>
        </w:tc>
      </w:tr>
      <w:tr w14:paraId="57DD8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16" w:type="dxa"/>
            <w:noWrap w:val="0"/>
            <w:vAlign w:val="center"/>
          </w:tcPr>
          <w:p w14:paraId="7B78BC25"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2</w:t>
            </w:r>
          </w:p>
        </w:tc>
        <w:tc>
          <w:tcPr>
            <w:tcW w:w="1915" w:type="dxa"/>
            <w:noWrap w:val="0"/>
            <w:vAlign w:val="top"/>
          </w:tcPr>
          <w:p w14:paraId="0C19856A">
            <w:pPr>
              <w:jc w:val="center"/>
              <w:rPr>
                <w:rFonts w:ascii="华文楷体" w:hAnsi="华文楷体" w:eastAsia="华文楷体" w:cs="华文楷体"/>
                <w:sz w:val="22"/>
              </w:rPr>
            </w:pPr>
            <w:r>
              <w:rPr>
                <w:rFonts w:hint="eastAsia" w:ascii="仿宋_GB2312" w:eastAsia="仿宋_GB2312"/>
                <w:spacing w:val="20"/>
                <w:kern w:val="10"/>
              </w:rPr>
              <w:t>P10气体</w:t>
            </w:r>
          </w:p>
        </w:tc>
        <w:tc>
          <w:tcPr>
            <w:tcW w:w="2648" w:type="dxa"/>
            <w:noWrap w:val="0"/>
            <w:vAlign w:val="top"/>
          </w:tcPr>
          <w:p w14:paraId="1E90F13D">
            <w:pPr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仿宋_GB2312" w:eastAsia="仿宋_GB2312"/>
                <w:spacing w:val="20"/>
                <w:kern w:val="10"/>
              </w:rPr>
              <w:t>40L/瓶，常规满瓶压力</w:t>
            </w:r>
            <w:r>
              <w:rPr>
                <w:rFonts w:hint="eastAsia" w:ascii="仿宋_GB2312" w:eastAsia="仿宋_GB2312"/>
                <w:spacing w:val="20"/>
                <w:kern w:val="10"/>
                <w:lang w:eastAsia="zh-CN"/>
              </w:rPr>
              <w:t>（</w:t>
            </w:r>
            <w:r>
              <w:rPr>
                <w:rFonts w:hint="eastAsia" w:ascii="仿宋_GB2312" w:eastAsia="仿宋_GB2312"/>
                <w:spacing w:val="20"/>
                <w:kern w:val="10"/>
                <w:lang w:val="en-US" w:eastAsia="zh-CN"/>
              </w:rPr>
              <w:t>含钢瓶</w:t>
            </w:r>
            <w:r>
              <w:rPr>
                <w:rFonts w:hint="eastAsia" w:ascii="仿宋_GB2312" w:eastAsia="仿宋_GB2312"/>
                <w:spacing w:val="20"/>
                <w:kern w:val="10"/>
                <w:lang w:eastAsia="zh-CN"/>
              </w:rPr>
              <w:t>）</w:t>
            </w:r>
          </w:p>
        </w:tc>
        <w:tc>
          <w:tcPr>
            <w:tcW w:w="964" w:type="dxa"/>
            <w:noWrap w:val="0"/>
            <w:vAlign w:val="center"/>
          </w:tcPr>
          <w:p w14:paraId="35FAE656">
            <w:pPr>
              <w:jc w:val="center"/>
              <w:rPr>
                <w:sz w:val="22"/>
              </w:rPr>
            </w:pPr>
            <w:r>
              <w:rPr>
                <w:rFonts w:hint="eastAsia" w:ascii="仿宋_GB2312" w:eastAsia="仿宋_GB2312"/>
                <w:spacing w:val="20"/>
                <w:kern w:val="10"/>
              </w:rPr>
              <w:t>升</w:t>
            </w:r>
          </w:p>
        </w:tc>
        <w:tc>
          <w:tcPr>
            <w:tcW w:w="900" w:type="dxa"/>
            <w:noWrap w:val="0"/>
            <w:vAlign w:val="center"/>
          </w:tcPr>
          <w:p w14:paraId="5A3B091D">
            <w:pPr>
              <w:jc w:val="center"/>
              <w:rPr>
                <w:sz w:val="22"/>
              </w:rPr>
            </w:pPr>
            <w:r>
              <w:rPr>
                <w:rFonts w:hint="eastAsia" w:ascii="仿宋_GB2312" w:eastAsia="仿宋_GB2312"/>
                <w:szCs w:val="21"/>
              </w:rPr>
              <w:t>3</w:t>
            </w:r>
          </w:p>
        </w:tc>
        <w:tc>
          <w:tcPr>
            <w:tcW w:w="1144" w:type="dxa"/>
            <w:vMerge w:val="continue"/>
            <w:noWrap w:val="0"/>
            <w:vAlign w:val="center"/>
          </w:tcPr>
          <w:p w14:paraId="55D68EBF">
            <w:pPr>
              <w:widowControl/>
              <w:jc w:val="center"/>
              <w:textAlignment w:val="top"/>
              <w:rPr>
                <w:rFonts w:hint="eastAsia" w:ascii="华文楷体" w:hAnsi="华文楷体" w:eastAsia="华文楷体" w:cs="华文楷体"/>
                <w:sz w:val="22"/>
              </w:rPr>
            </w:pPr>
          </w:p>
        </w:tc>
      </w:tr>
      <w:tr w14:paraId="717AB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16" w:type="dxa"/>
            <w:noWrap w:val="0"/>
            <w:vAlign w:val="center"/>
          </w:tcPr>
          <w:p w14:paraId="1631A26B">
            <w:pPr>
              <w:adjustRightInd w:val="0"/>
              <w:snapToGrid w:val="0"/>
              <w:spacing w:line="240" w:lineRule="exact"/>
              <w:jc w:val="center"/>
              <w:rPr>
                <w:rFonts w:hint="eastAsia" w:ascii="华文楷体" w:hAnsi="华文楷体" w:eastAsia="华文楷体" w:cs="华文楷体"/>
                <w:sz w:val="22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lang w:val="en-US" w:eastAsia="zh-CN"/>
              </w:rPr>
              <w:t>3</w:t>
            </w:r>
          </w:p>
        </w:tc>
        <w:tc>
          <w:tcPr>
            <w:tcW w:w="1915" w:type="dxa"/>
            <w:noWrap w:val="0"/>
            <w:vAlign w:val="top"/>
          </w:tcPr>
          <w:p w14:paraId="3E2DD445">
            <w:pPr>
              <w:jc w:val="center"/>
              <w:rPr>
                <w:rFonts w:ascii="华文楷体" w:hAnsi="华文楷体" w:eastAsia="华文楷体" w:cs="华文楷体"/>
                <w:sz w:val="22"/>
              </w:rPr>
            </w:pPr>
            <w:r>
              <w:rPr>
                <w:rFonts w:hint="eastAsia" w:ascii="仿宋_GB2312" w:eastAsia="仿宋_GB2312"/>
                <w:spacing w:val="20"/>
                <w:kern w:val="10"/>
              </w:rPr>
              <w:t>氢氧化钠</w:t>
            </w:r>
          </w:p>
        </w:tc>
        <w:tc>
          <w:tcPr>
            <w:tcW w:w="2648" w:type="dxa"/>
            <w:noWrap w:val="0"/>
            <w:vAlign w:val="top"/>
          </w:tcPr>
          <w:p w14:paraId="5259C2B7">
            <w:pPr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仿宋_GB2312" w:eastAsia="仿宋_GB2312"/>
                <w:spacing w:val="20"/>
                <w:kern w:val="10"/>
              </w:rPr>
              <w:t>500g/瓶</w:t>
            </w:r>
            <w:r>
              <w:rPr>
                <w:rFonts w:hint="eastAsia" w:ascii="仿宋_GB2312" w:eastAsia="仿宋_GB2312"/>
                <w:spacing w:val="20"/>
                <w:kern w:val="10"/>
                <w:lang w:eastAsia="zh-CN"/>
              </w:rPr>
              <w:t>，</w:t>
            </w:r>
            <w:r>
              <w:rPr>
                <w:rFonts w:hint="eastAsia" w:ascii="仿宋_GB2312" w:eastAsia="仿宋_GB2312"/>
                <w:spacing w:val="20"/>
                <w:kern w:val="10"/>
                <w:lang w:val="en-US" w:eastAsia="zh-CN"/>
              </w:rPr>
              <w:t>优级纯</w:t>
            </w:r>
          </w:p>
        </w:tc>
        <w:tc>
          <w:tcPr>
            <w:tcW w:w="964" w:type="dxa"/>
            <w:noWrap w:val="0"/>
            <w:vAlign w:val="center"/>
          </w:tcPr>
          <w:p w14:paraId="5B550124">
            <w:pPr>
              <w:jc w:val="center"/>
              <w:rPr>
                <w:sz w:val="22"/>
              </w:rPr>
            </w:pPr>
            <w:r>
              <w:rPr>
                <w:rFonts w:hint="eastAsia" w:ascii="仿宋_GB2312" w:eastAsia="仿宋_GB2312"/>
                <w:spacing w:val="20"/>
                <w:kern w:val="10"/>
              </w:rPr>
              <w:t>瓶</w:t>
            </w:r>
          </w:p>
        </w:tc>
        <w:tc>
          <w:tcPr>
            <w:tcW w:w="900" w:type="dxa"/>
            <w:noWrap w:val="0"/>
            <w:vAlign w:val="center"/>
          </w:tcPr>
          <w:p w14:paraId="08A68E88">
            <w:pPr>
              <w:jc w:val="center"/>
              <w:rPr>
                <w:sz w:val="22"/>
              </w:rPr>
            </w:pPr>
            <w:r>
              <w:rPr>
                <w:rFonts w:hint="eastAsia" w:ascii="仿宋_GB2312" w:eastAsia="仿宋_GB2312"/>
                <w:szCs w:val="21"/>
              </w:rPr>
              <w:t>30</w:t>
            </w:r>
          </w:p>
        </w:tc>
        <w:tc>
          <w:tcPr>
            <w:tcW w:w="1144" w:type="dxa"/>
            <w:vMerge w:val="continue"/>
            <w:noWrap w:val="0"/>
            <w:vAlign w:val="center"/>
          </w:tcPr>
          <w:p w14:paraId="5A51DF95">
            <w:pPr>
              <w:widowControl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</w:rPr>
            </w:pPr>
          </w:p>
        </w:tc>
      </w:tr>
      <w:tr w14:paraId="0047F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16" w:type="dxa"/>
            <w:noWrap w:val="0"/>
            <w:vAlign w:val="center"/>
          </w:tcPr>
          <w:p w14:paraId="738F7827"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4</w:t>
            </w:r>
          </w:p>
        </w:tc>
        <w:tc>
          <w:tcPr>
            <w:tcW w:w="1915" w:type="dxa"/>
            <w:noWrap w:val="0"/>
            <w:vAlign w:val="top"/>
          </w:tcPr>
          <w:p w14:paraId="2283E11A">
            <w:pPr>
              <w:jc w:val="center"/>
              <w:rPr>
                <w:rFonts w:ascii="华文楷体" w:hAnsi="华文楷体" w:eastAsia="华文楷体" w:cs="华文楷体"/>
                <w:sz w:val="22"/>
              </w:rPr>
            </w:pPr>
            <w:r>
              <w:rPr>
                <w:rFonts w:hint="eastAsia" w:ascii="仿宋_GB2312" w:eastAsia="仿宋_GB2312"/>
                <w:spacing w:val="20"/>
                <w:kern w:val="10"/>
              </w:rPr>
              <w:t>氧气</w:t>
            </w:r>
          </w:p>
        </w:tc>
        <w:tc>
          <w:tcPr>
            <w:tcW w:w="2648" w:type="dxa"/>
            <w:noWrap w:val="0"/>
            <w:vAlign w:val="top"/>
          </w:tcPr>
          <w:p w14:paraId="7BE2D6DA">
            <w:pPr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仿宋_GB2312" w:eastAsia="仿宋_GB2312"/>
                <w:spacing w:val="20"/>
                <w:kern w:val="10"/>
              </w:rPr>
              <w:t>40L/瓶，常规满瓶压力</w:t>
            </w:r>
            <w:r>
              <w:rPr>
                <w:rFonts w:hint="eastAsia" w:ascii="仿宋_GB2312" w:eastAsia="仿宋_GB2312"/>
                <w:spacing w:val="20"/>
                <w:kern w:val="10"/>
                <w:lang w:eastAsia="zh-CN"/>
              </w:rPr>
              <w:t>（</w:t>
            </w:r>
            <w:r>
              <w:rPr>
                <w:rFonts w:hint="eastAsia" w:ascii="仿宋_GB2312" w:eastAsia="仿宋_GB2312"/>
                <w:spacing w:val="20"/>
                <w:kern w:val="10"/>
                <w:lang w:val="en-US" w:eastAsia="zh-CN"/>
              </w:rPr>
              <w:t>含钢瓶</w:t>
            </w:r>
            <w:r>
              <w:rPr>
                <w:rFonts w:hint="eastAsia" w:ascii="仿宋_GB2312" w:eastAsia="仿宋_GB2312"/>
                <w:spacing w:val="20"/>
                <w:kern w:val="10"/>
                <w:lang w:eastAsia="zh-CN"/>
              </w:rPr>
              <w:t>）</w:t>
            </w:r>
          </w:p>
        </w:tc>
        <w:tc>
          <w:tcPr>
            <w:tcW w:w="964" w:type="dxa"/>
            <w:noWrap w:val="0"/>
            <w:vAlign w:val="center"/>
          </w:tcPr>
          <w:p w14:paraId="286308A2">
            <w:pPr>
              <w:jc w:val="center"/>
              <w:rPr>
                <w:sz w:val="22"/>
              </w:rPr>
            </w:pPr>
            <w:r>
              <w:rPr>
                <w:rFonts w:hint="eastAsia" w:ascii="仿宋_GB2312" w:eastAsia="仿宋_GB2312"/>
                <w:spacing w:val="20"/>
                <w:kern w:val="10"/>
              </w:rPr>
              <w:t>瓶</w:t>
            </w:r>
          </w:p>
        </w:tc>
        <w:tc>
          <w:tcPr>
            <w:tcW w:w="900" w:type="dxa"/>
            <w:noWrap w:val="0"/>
            <w:vAlign w:val="center"/>
          </w:tcPr>
          <w:p w14:paraId="08EC9580">
            <w:pPr>
              <w:jc w:val="center"/>
              <w:rPr>
                <w:sz w:val="22"/>
              </w:rPr>
            </w:pPr>
            <w:r>
              <w:rPr>
                <w:rFonts w:hint="eastAsia" w:ascii="仿宋_GB2312" w:eastAsia="仿宋_GB2312"/>
                <w:szCs w:val="21"/>
              </w:rPr>
              <w:t>2</w:t>
            </w:r>
          </w:p>
        </w:tc>
        <w:tc>
          <w:tcPr>
            <w:tcW w:w="1144" w:type="dxa"/>
            <w:vMerge w:val="continue"/>
            <w:noWrap w:val="0"/>
            <w:vAlign w:val="center"/>
          </w:tcPr>
          <w:p w14:paraId="67754219">
            <w:pPr>
              <w:widowControl/>
              <w:jc w:val="both"/>
              <w:textAlignment w:val="top"/>
              <w:rPr>
                <w:rFonts w:hint="eastAsia" w:ascii="华文楷体" w:hAnsi="华文楷体" w:eastAsia="华文楷体" w:cs="华文楷体"/>
                <w:sz w:val="22"/>
              </w:rPr>
            </w:pPr>
          </w:p>
        </w:tc>
      </w:tr>
      <w:tr w14:paraId="2C5BC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16" w:type="dxa"/>
            <w:noWrap w:val="0"/>
            <w:vAlign w:val="center"/>
          </w:tcPr>
          <w:p w14:paraId="29D57ED1"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5</w:t>
            </w:r>
          </w:p>
        </w:tc>
        <w:tc>
          <w:tcPr>
            <w:tcW w:w="1915" w:type="dxa"/>
            <w:noWrap w:val="0"/>
            <w:vAlign w:val="center"/>
          </w:tcPr>
          <w:p w14:paraId="394A2BEF">
            <w:pPr>
              <w:spacing w:line="240" w:lineRule="exact"/>
              <w:jc w:val="center"/>
              <w:rPr>
                <w:rFonts w:ascii="华文楷体" w:hAnsi="华文楷体" w:eastAsia="华文楷体" w:cs="华文楷体"/>
                <w:sz w:val="22"/>
              </w:rPr>
            </w:pPr>
            <w:r>
              <w:rPr>
                <w:rFonts w:hint="eastAsia" w:ascii="仿宋_GB2312" w:eastAsia="仿宋_GB2312"/>
                <w:spacing w:val="20"/>
                <w:kern w:val="10"/>
              </w:rPr>
              <w:t>冰乙酸</w:t>
            </w:r>
          </w:p>
        </w:tc>
        <w:tc>
          <w:tcPr>
            <w:tcW w:w="2648" w:type="dxa"/>
            <w:noWrap w:val="0"/>
            <w:vAlign w:val="center"/>
          </w:tcPr>
          <w:p w14:paraId="7659E2BF">
            <w:pPr>
              <w:spacing w:line="240" w:lineRule="exact"/>
              <w:jc w:val="left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仿宋_GB2312" w:eastAsia="仿宋_GB2312"/>
                <w:spacing w:val="20"/>
                <w:kern w:val="10"/>
              </w:rPr>
              <w:t>500ml/瓶,优级纯</w:t>
            </w:r>
          </w:p>
        </w:tc>
        <w:tc>
          <w:tcPr>
            <w:tcW w:w="964" w:type="dxa"/>
            <w:noWrap w:val="0"/>
            <w:vAlign w:val="center"/>
          </w:tcPr>
          <w:p w14:paraId="4CBE8438">
            <w:pPr>
              <w:spacing w:line="240" w:lineRule="exact"/>
              <w:jc w:val="center"/>
              <w:rPr>
                <w:sz w:val="22"/>
              </w:rPr>
            </w:pPr>
            <w:r>
              <w:rPr>
                <w:rFonts w:hint="eastAsia" w:ascii="仿宋_GB2312" w:eastAsia="仿宋_GB2312"/>
                <w:spacing w:val="20"/>
                <w:kern w:val="10"/>
              </w:rPr>
              <w:t>瓶</w:t>
            </w:r>
          </w:p>
        </w:tc>
        <w:tc>
          <w:tcPr>
            <w:tcW w:w="900" w:type="dxa"/>
            <w:noWrap w:val="0"/>
            <w:vAlign w:val="center"/>
          </w:tcPr>
          <w:p w14:paraId="75656837">
            <w:pPr>
              <w:jc w:val="center"/>
              <w:rPr>
                <w:sz w:val="22"/>
              </w:rPr>
            </w:pPr>
            <w:r>
              <w:rPr>
                <w:rFonts w:hint="eastAsia" w:ascii="仿宋_GB2312" w:eastAsia="仿宋_GB2312"/>
                <w:szCs w:val="21"/>
              </w:rPr>
              <w:t>70</w:t>
            </w:r>
          </w:p>
        </w:tc>
        <w:tc>
          <w:tcPr>
            <w:tcW w:w="1144" w:type="dxa"/>
            <w:vMerge w:val="continue"/>
            <w:noWrap w:val="0"/>
            <w:vAlign w:val="center"/>
          </w:tcPr>
          <w:p w14:paraId="7857DB24">
            <w:pPr>
              <w:widowControl/>
              <w:jc w:val="center"/>
              <w:textAlignment w:val="top"/>
              <w:rPr>
                <w:rFonts w:hint="eastAsia" w:ascii="华文楷体" w:hAnsi="华文楷体" w:eastAsia="华文楷体" w:cs="华文楷体"/>
                <w:sz w:val="22"/>
              </w:rPr>
            </w:pPr>
          </w:p>
        </w:tc>
      </w:tr>
      <w:tr w14:paraId="4D762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16" w:type="dxa"/>
            <w:noWrap w:val="0"/>
            <w:vAlign w:val="center"/>
          </w:tcPr>
          <w:p w14:paraId="4360DFAF"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6</w:t>
            </w:r>
          </w:p>
        </w:tc>
        <w:tc>
          <w:tcPr>
            <w:tcW w:w="1915" w:type="dxa"/>
            <w:noWrap w:val="0"/>
            <w:vAlign w:val="center"/>
          </w:tcPr>
          <w:p w14:paraId="18F495A8">
            <w:pPr>
              <w:spacing w:line="240" w:lineRule="exact"/>
              <w:jc w:val="center"/>
              <w:rPr>
                <w:rFonts w:ascii="华文楷体" w:hAnsi="华文楷体" w:eastAsia="华文楷体" w:cs="华文楷体"/>
                <w:sz w:val="22"/>
              </w:rPr>
            </w:pPr>
            <w:r>
              <w:rPr>
                <w:rFonts w:hint="eastAsia" w:ascii="仿宋_GB2312" w:eastAsia="仿宋_GB2312"/>
                <w:spacing w:val="20"/>
                <w:kern w:val="10"/>
              </w:rPr>
              <w:t>甲醇</w:t>
            </w:r>
          </w:p>
        </w:tc>
        <w:tc>
          <w:tcPr>
            <w:tcW w:w="2648" w:type="dxa"/>
            <w:noWrap w:val="0"/>
            <w:vAlign w:val="center"/>
          </w:tcPr>
          <w:p w14:paraId="5497F75B">
            <w:pPr>
              <w:spacing w:line="240" w:lineRule="exact"/>
              <w:jc w:val="left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仿宋_GB2312" w:eastAsia="仿宋_GB2312"/>
                <w:spacing w:val="20"/>
                <w:kern w:val="10"/>
              </w:rPr>
              <w:t>4L/瓶，</w:t>
            </w:r>
            <w:r>
              <w:rPr>
                <w:rFonts w:hint="eastAsia" w:ascii="仿宋_GB2312" w:eastAsia="仿宋_GB2312"/>
                <w:spacing w:val="20"/>
                <w:kern w:val="10"/>
                <w:lang w:val="en-US" w:eastAsia="zh-CN"/>
              </w:rPr>
              <w:t>色谱</w:t>
            </w:r>
            <w:r>
              <w:rPr>
                <w:rFonts w:hint="eastAsia" w:ascii="仿宋_GB2312" w:eastAsia="仿宋_GB2312"/>
                <w:spacing w:val="20"/>
                <w:kern w:val="10"/>
              </w:rPr>
              <w:t>纯，4瓶/箱</w:t>
            </w:r>
          </w:p>
        </w:tc>
        <w:tc>
          <w:tcPr>
            <w:tcW w:w="964" w:type="dxa"/>
            <w:noWrap w:val="0"/>
            <w:vAlign w:val="center"/>
          </w:tcPr>
          <w:p w14:paraId="70201359">
            <w:pPr>
              <w:spacing w:line="240" w:lineRule="exact"/>
              <w:jc w:val="center"/>
              <w:rPr>
                <w:sz w:val="22"/>
              </w:rPr>
            </w:pPr>
            <w:r>
              <w:rPr>
                <w:rFonts w:hint="eastAsia" w:ascii="仿宋_GB2312" w:eastAsia="仿宋_GB2312"/>
                <w:spacing w:val="20"/>
                <w:kern w:val="10"/>
              </w:rPr>
              <w:t>箱</w:t>
            </w:r>
          </w:p>
        </w:tc>
        <w:tc>
          <w:tcPr>
            <w:tcW w:w="900" w:type="dxa"/>
            <w:noWrap w:val="0"/>
            <w:vAlign w:val="center"/>
          </w:tcPr>
          <w:p w14:paraId="29AD8222">
            <w:pPr>
              <w:jc w:val="center"/>
              <w:rPr>
                <w:sz w:val="22"/>
              </w:rPr>
            </w:pPr>
            <w:r>
              <w:rPr>
                <w:rFonts w:hint="eastAsia" w:ascii="仿宋_GB2312" w:eastAsia="仿宋_GB2312"/>
                <w:szCs w:val="21"/>
              </w:rPr>
              <w:t>5</w:t>
            </w:r>
          </w:p>
        </w:tc>
        <w:tc>
          <w:tcPr>
            <w:tcW w:w="1144" w:type="dxa"/>
            <w:vMerge w:val="continue"/>
            <w:noWrap w:val="0"/>
            <w:vAlign w:val="center"/>
          </w:tcPr>
          <w:p w14:paraId="6912B062">
            <w:pPr>
              <w:widowControl/>
              <w:jc w:val="center"/>
              <w:textAlignment w:val="top"/>
              <w:rPr>
                <w:rFonts w:hint="eastAsia" w:ascii="华文楷体" w:hAnsi="华文楷体" w:eastAsia="华文楷体" w:cs="华文楷体"/>
                <w:sz w:val="22"/>
              </w:rPr>
            </w:pPr>
          </w:p>
        </w:tc>
      </w:tr>
      <w:tr w14:paraId="19778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16" w:type="dxa"/>
            <w:noWrap w:val="0"/>
            <w:vAlign w:val="center"/>
          </w:tcPr>
          <w:p w14:paraId="2F5E9C1A"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7</w:t>
            </w:r>
          </w:p>
        </w:tc>
        <w:tc>
          <w:tcPr>
            <w:tcW w:w="1915" w:type="dxa"/>
            <w:noWrap w:val="0"/>
            <w:vAlign w:val="top"/>
          </w:tcPr>
          <w:p w14:paraId="1C833169">
            <w:pPr>
              <w:jc w:val="center"/>
              <w:rPr>
                <w:rFonts w:ascii="华文楷体" w:hAnsi="华文楷体" w:eastAsia="华文楷体" w:cs="华文楷体"/>
                <w:sz w:val="22"/>
              </w:rPr>
            </w:pPr>
            <w:r>
              <w:rPr>
                <w:rFonts w:hint="eastAsia" w:ascii="仿宋_GB2312" w:eastAsia="仿宋_GB2312"/>
                <w:spacing w:val="20"/>
                <w:kern w:val="10"/>
              </w:rPr>
              <w:t>氮气</w:t>
            </w:r>
          </w:p>
        </w:tc>
        <w:tc>
          <w:tcPr>
            <w:tcW w:w="2648" w:type="dxa"/>
            <w:noWrap w:val="0"/>
            <w:vAlign w:val="top"/>
          </w:tcPr>
          <w:p w14:paraId="55A3E2F3">
            <w:pPr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仿宋_GB2312" w:eastAsia="仿宋_GB2312"/>
                <w:spacing w:val="20"/>
                <w:kern w:val="10"/>
              </w:rPr>
              <w:t>40L/瓶，常规满瓶压力</w:t>
            </w:r>
            <w:r>
              <w:rPr>
                <w:rFonts w:hint="eastAsia" w:ascii="仿宋_GB2312" w:eastAsia="仿宋_GB2312"/>
                <w:spacing w:val="20"/>
                <w:kern w:val="10"/>
                <w:lang w:eastAsia="zh-CN"/>
              </w:rPr>
              <w:t>（</w:t>
            </w:r>
            <w:r>
              <w:rPr>
                <w:rFonts w:hint="eastAsia" w:ascii="仿宋_GB2312" w:eastAsia="仿宋_GB2312"/>
                <w:spacing w:val="20"/>
                <w:kern w:val="10"/>
                <w:lang w:val="en-US" w:eastAsia="zh-CN"/>
              </w:rPr>
              <w:t>含钢瓶</w:t>
            </w:r>
            <w:r>
              <w:rPr>
                <w:rFonts w:hint="eastAsia" w:ascii="仿宋_GB2312" w:eastAsia="仿宋_GB2312"/>
                <w:spacing w:val="20"/>
                <w:kern w:val="10"/>
                <w:lang w:eastAsia="zh-CN"/>
              </w:rPr>
              <w:t>）</w:t>
            </w:r>
          </w:p>
        </w:tc>
        <w:tc>
          <w:tcPr>
            <w:tcW w:w="964" w:type="dxa"/>
            <w:noWrap w:val="0"/>
            <w:vAlign w:val="center"/>
          </w:tcPr>
          <w:p w14:paraId="28B95532">
            <w:pPr>
              <w:jc w:val="center"/>
              <w:rPr>
                <w:sz w:val="22"/>
              </w:rPr>
            </w:pPr>
            <w:r>
              <w:rPr>
                <w:rFonts w:hint="eastAsia" w:ascii="仿宋_GB2312" w:eastAsia="仿宋_GB2312"/>
                <w:spacing w:val="20"/>
                <w:kern w:val="10"/>
              </w:rPr>
              <w:t>瓶</w:t>
            </w:r>
          </w:p>
        </w:tc>
        <w:tc>
          <w:tcPr>
            <w:tcW w:w="900" w:type="dxa"/>
            <w:noWrap w:val="0"/>
            <w:vAlign w:val="center"/>
          </w:tcPr>
          <w:p w14:paraId="3137142D">
            <w:pPr>
              <w:jc w:val="center"/>
              <w:rPr>
                <w:sz w:val="22"/>
              </w:rPr>
            </w:pPr>
            <w:r>
              <w:rPr>
                <w:rFonts w:hint="eastAsia" w:ascii="仿宋_GB2312" w:eastAsia="仿宋_GB2312"/>
                <w:szCs w:val="21"/>
              </w:rPr>
              <w:t>2</w:t>
            </w:r>
          </w:p>
        </w:tc>
        <w:tc>
          <w:tcPr>
            <w:tcW w:w="1144" w:type="dxa"/>
            <w:vMerge w:val="continue"/>
            <w:noWrap w:val="0"/>
            <w:vAlign w:val="center"/>
          </w:tcPr>
          <w:p w14:paraId="4246D89D">
            <w:pPr>
              <w:widowControl/>
              <w:jc w:val="center"/>
              <w:textAlignment w:val="top"/>
              <w:rPr>
                <w:rFonts w:hint="eastAsia" w:ascii="华文楷体" w:hAnsi="华文楷体" w:eastAsia="华文楷体" w:cs="华文楷体"/>
                <w:sz w:val="22"/>
              </w:rPr>
            </w:pPr>
          </w:p>
        </w:tc>
      </w:tr>
    </w:tbl>
    <w:p w14:paraId="7EA3FEA5"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FhN2I4MDAyNGMxMGMxOThmMjM5NGE5ZGIzNWRlZmQifQ=="/>
  </w:docVars>
  <w:rsids>
    <w:rsidRoot w:val="69E857CD"/>
    <w:rsid w:val="20117F78"/>
    <w:rsid w:val="69E857CD"/>
    <w:rsid w:val="72EE7BD0"/>
    <w:rsid w:val="7C865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spacing w:after="120"/>
    </w:pPr>
  </w:style>
  <w:style w:type="paragraph" w:styleId="4">
    <w:name w:val="Body Text First Indent"/>
    <w:basedOn w:val="3"/>
    <w:qFormat/>
    <w:uiPriority w:val="0"/>
    <w:pPr>
      <w:spacing w:line="360" w:lineRule="auto"/>
      <w:ind w:firstLine="420"/>
    </w:pPr>
    <w:rPr>
      <w:rFonts w:ascii="宋体" w:hAnsi="宋体"/>
      <w:sz w:val="24"/>
    </w:rPr>
  </w:style>
  <w:style w:type="character" w:customStyle="1" w:styleId="7">
    <w:name w:val="font21"/>
    <w:qFormat/>
    <w:uiPriority w:val="0"/>
    <w:rPr>
      <w:rFonts w:hint="eastAsia" w:ascii="仿宋" w:hAnsi="仿宋" w:eastAsia="仿宋" w:cs="仿宋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158</Words>
  <Characters>193</Characters>
  <Lines>0</Lines>
  <Paragraphs>0</Paragraphs>
  <TotalTime>34</TotalTime>
  <ScaleCrop>false</ScaleCrop>
  <LinksUpToDate>false</LinksUpToDate>
  <CharactersWithSpaces>193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2025-05-14T08:16:00Z</dcterms:created>
  <dc:creator>灿</dc:creator>
  <cp:lastModifiedBy>微信用户</cp:lastModifiedBy>
  <dcterms:modified xsi:type="dcterms:W3CDTF">2026-06-16T06:55:55Z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300448B395A24233B8691768FE080315_13</vt:lpwstr>
  </property>
  <property fmtid="{D5CDD505-2E9C-101B-9397-08002B2CF9AE}" pid="4" name="KSOTemplateDocerSaveRecord">
    <vt:lpwstr>eyJoZGlkIjoiYzQxNzc2MDg1YTQyZmFkOTA0MzY4NWVlZTdhYjU5YjYiLCJ1c2VySWQiOiIxMzUyMzE0NjUxIn0=</vt:lpwstr>
  </property>
</Properties>
</file>