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49745">
      <w:pPr>
        <w:wordWrap w:val="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14:paraId="13C30E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Times New Roman" w:hAnsi="Times New Roman" w:cs="Times New Roman"/>
          <w:b/>
          <w:bCs/>
          <w:sz w:val="32"/>
          <w:szCs w:val="32"/>
        </w:rPr>
      </w:pPr>
      <w:bookmarkStart w:id="0" w:name="_Toc17637"/>
      <w:r>
        <w:rPr>
          <w:rFonts w:hint="default" w:ascii="微软雅黑" w:hAnsi="微软雅黑" w:eastAsia="微软雅黑" w:cs="微软雅黑"/>
          <w:i w:val="0"/>
          <w:iCs w:val="0"/>
          <w:caps w:val="0"/>
          <w:color w:val="484848"/>
          <w:spacing w:val="0"/>
          <w:sz w:val="36"/>
          <w:szCs w:val="36"/>
          <w:u w:val="none"/>
          <w:lang w:eastAsia="zh-CN"/>
        </w:rPr>
        <w:t>黑龙江省疾病预防控制中心</w:t>
      </w:r>
      <w:r>
        <w:rPr>
          <w:rFonts w:hint="default" w:ascii="微软雅黑" w:hAnsi="微软雅黑" w:eastAsia="微软雅黑" w:cs="微软雅黑"/>
          <w:i w:val="0"/>
          <w:iCs w:val="0"/>
          <w:caps w:val="0"/>
          <w:color w:val="484848"/>
          <w:spacing w:val="0"/>
          <w:sz w:val="36"/>
          <w:szCs w:val="36"/>
          <w:u w:val="none"/>
        </w:rPr>
        <w:t>伦理委员会章程</w:t>
      </w:r>
      <w:bookmarkEnd w:id="0"/>
    </w:p>
    <w:p w14:paraId="29DDBD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eastAsia" w:ascii="微软雅黑" w:hAnsi="微软雅黑" w:eastAsia="微软雅黑" w:cs="微软雅黑"/>
          <w:i w:val="0"/>
          <w:iCs w:val="0"/>
          <w:caps w:val="0"/>
          <w:color w:val="484848"/>
          <w:spacing w:val="0"/>
          <w:sz w:val="28"/>
          <w:szCs w:val="28"/>
          <w:u w:val="none"/>
          <w:lang w:val="en-US" w:eastAsia="en-US"/>
        </w:rPr>
        <w:t>第一章 总则</w:t>
      </w:r>
    </w:p>
    <w:p w14:paraId="49E236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第一条 为保护生物医学研究</w:t>
      </w:r>
      <w:r>
        <w:rPr>
          <w:rFonts w:hint="eastAsia" w:ascii="仿宋" w:hAnsi="仿宋" w:eastAsia="仿宋" w:cs="仿宋"/>
          <w:i w:val="0"/>
          <w:iCs w:val="0"/>
          <w:caps w:val="0"/>
          <w:color w:val="484848"/>
          <w:spacing w:val="0"/>
          <w:sz w:val="24"/>
          <w:szCs w:val="24"/>
          <w:u w:val="none"/>
          <w:lang w:val="en-US" w:eastAsia="zh-CN"/>
        </w:rPr>
        <w:t>的</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的权益和安全，规范伦理委员会的组织和运行，根据《涉及人的生命科学和医学研究伦理审查办法》（国卫科教发〔2023〕4号）和《药物临床试验质量管理规范》（2020年）</w:t>
      </w:r>
      <w:r>
        <w:rPr>
          <w:rFonts w:hint="eastAsia" w:ascii="仿宋" w:hAnsi="仿宋" w:eastAsia="仿宋" w:cs="仿宋"/>
          <w:i w:val="0"/>
          <w:iCs w:val="0"/>
          <w:caps w:val="0"/>
          <w:color w:val="484848"/>
          <w:spacing w:val="0"/>
          <w:sz w:val="24"/>
          <w:szCs w:val="24"/>
          <w:u w:val="none"/>
          <w:lang w:eastAsia="zh-CN"/>
        </w:rPr>
        <w:t>，</w:t>
      </w:r>
      <w:r>
        <w:rPr>
          <w:rFonts w:hint="default" w:ascii="仿宋" w:hAnsi="仿宋" w:eastAsia="仿宋" w:cs="仿宋"/>
          <w:i w:val="0"/>
          <w:iCs w:val="0"/>
          <w:caps w:val="0"/>
          <w:color w:val="484848"/>
          <w:spacing w:val="0"/>
          <w:sz w:val="24"/>
          <w:szCs w:val="24"/>
          <w:u w:val="none"/>
          <w:lang w:eastAsia="zh-CN"/>
        </w:rPr>
        <w:t>制定本章程。</w:t>
      </w:r>
    </w:p>
    <w:p w14:paraId="0E4A14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第二条 中心负责建立</w:t>
      </w:r>
      <w:r>
        <w:rPr>
          <w:rFonts w:hint="eastAsia" w:ascii="仿宋" w:hAnsi="仿宋" w:eastAsia="仿宋" w:cs="仿宋"/>
          <w:i w:val="0"/>
          <w:iCs w:val="0"/>
          <w:caps w:val="0"/>
          <w:color w:val="484848"/>
          <w:spacing w:val="0"/>
          <w:sz w:val="24"/>
          <w:szCs w:val="24"/>
          <w:u w:val="none"/>
          <w:lang w:eastAsia="zh-CN"/>
        </w:rPr>
        <w:t>涉及人的生命科学和医学研究</w:t>
      </w:r>
      <w:r>
        <w:rPr>
          <w:rFonts w:hint="default" w:ascii="仿宋" w:hAnsi="仿宋" w:eastAsia="仿宋" w:cs="仿宋"/>
          <w:i w:val="0"/>
          <w:iCs w:val="0"/>
          <w:caps w:val="0"/>
          <w:color w:val="484848"/>
          <w:spacing w:val="0"/>
          <w:sz w:val="24"/>
          <w:szCs w:val="24"/>
          <w:u w:val="none"/>
          <w:lang w:eastAsia="zh-CN"/>
        </w:rPr>
        <w:t>伦理审查体系。在这个体系框架中，各相关管理部门、伦理委员会、伦理委员会办公室、以及研究者和研究人员遵循相关法律、法规、政策和指南，遵循公认的伦理准则，相互协作，实现保护</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权益和安全的目标。</w:t>
      </w:r>
    </w:p>
    <w:p w14:paraId="564DE4F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第三条 伦理委员会是伦理审查体系的一个组成部分。中心负责伦理委员会的组建和换届，授予伦理委员会独立审查的权利，提供伦理委员会管理和运行所需的资源。</w:t>
      </w:r>
    </w:p>
    <w:p w14:paraId="109EE9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第四条 伦理委员会的宗旨是通过对</w:t>
      </w:r>
      <w:r>
        <w:rPr>
          <w:rFonts w:hint="eastAsia" w:ascii="仿宋" w:hAnsi="仿宋" w:eastAsia="仿宋" w:cs="仿宋"/>
          <w:i w:val="0"/>
          <w:iCs w:val="0"/>
          <w:caps w:val="0"/>
          <w:color w:val="484848"/>
          <w:spacing w:val="0"/>
          <w:sz w:val="24"/>
          <w:szCs w:val="24"/>
          <w:u w:val="none"/>
          <w:lang w:eastAsia="zh-CN"/>
        </w:rPr>
        <w:t>涉及人的生命科学和医学研究</w:t>
      </w:r>
      <w:r>
        <w:rPr>
          <w:rFonts w:hint="default" w:ascii="仿宋" w:hAnsi="仿宋" w:eastAsia="仿宋" w:cs="仿宋"/>
          <w:i w:val="0"/>
          <w:iCs w:val="0"/>
          <w:caps w:val="0"/>
          <w:color w:val="484848"/>
          <w:spacing w:val="0"/>
          <w:sz w:val="24"/>
          <w:szCs w:val="24"/>
          <w:u w:val="none"/>
          <w:lang w:eastAsia="zh-CN"/>
        </w:rPr>
        <w:t>项目的伦理审查，确保</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的权益和安全得到保护，促进生物医学研究达到科学和伦理的高标准，增强公众对研究的信任和支持。</w:t>
      </w:r>
    </w:p>
    <w:p w14:paraId="0ECBEA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3666E3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第二章 伦理委员会的组织</w:t>
      </w:r>
    </w:p>
    <w:p w14:paraId="33627E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第五条 组织架构：中心根据本机构伦理审查项目的性质和范围，构建伦理委员会的组织架构，设立伦理委员会并规定其审查范围，设立为伦理委员会提供审查事务服务的办公室。中心重大研究项目的审查，外单位委员占比应超过二分之一。</w:t>
      </w:r>
    </w:p>
    <w:p w14:paraId="306FD8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第六条 委员：审查</w:t>
      </w:r>
      <w:r>
        <w:rPr>
          <w:rFonts w:hint="eastAsia" w:ascii="仿宋" w:hAnsi="仿宋" w:eastAsia="仿宋" w:cs="仿宋"/>
          <w:i w:val="0"/>
          <w:iCs w:val="0"/>
          <w:caps w:val="0"/>
          <w:color w:val="484848"/>
          <w:spacing w:val="0"/>
          <w:sz w:val="24"/>
          <w:szCs w:val="24"/>
          <w:u w:val="none"/>
          <w:lang w:eastAsia="zh-CN"/>
        </w:rPr>
        <w:t>涉及人的生命科学和医学研究</w:t>
      </w:r>
      <w:r>
        <w:rPr>
          <w:rFonts w:hint="default" w:ascii="仿宋" w:hAnsi="仿宋" w:eastAsia="仿宋" w:cs="仿宋"/>
          <w:i w:val="0"/>
          <w:iCs w:val="0"/>
          <w:caps w:val="0"/>
          <w:color w:val="484848"/>
          <w:spacing w:val="0"/>
          <w:sz w:val="24"/>
          <w:szCs w:val="24"/>
          <w:u w:val="none"/>
          <w:lang w:eastAsia="zh-CN"/>
        </w:rPr>
        <w:t>项目的伦理委员会，</w:t>
      </w:r>
      <w:r>
        <w:rPr>
          <w:rFonts w:hint="eastAsia" w:ascii="仿宋" w:hAnsi="仿宋" w:eastAsia="仿宋" w:cs="仿宋"/>
          <w:i w:val="0"/>
          <w:iCs w:val="0"/>
          <w:caps w:val="0"/>
          <w:color w:val="484848"/>
          <w:spacing w:val="0"/>
          <w:sz w:val="24"/>
          <w:szCs w:val="24"/>
          <w:u w:val="none"/>
          <w:lang w:eastAsia="zh-CN"/>
        </w:rPr>
        <w:t>伦理审查委员会的委员应当从生命科学、医学、生命伦理学、法学等领域的专家和非本机构的（</w:t>
      </w:r>
      <w:r>
        <w:rPr>
          <w:rFonts w:hint="default" w:ascii="仿宋" w:hAnsi="仿宋" w:eastAsia="仿宋" w:cs="仿宋"/>
          <w:i w:val="0"/>
          <w:iCs w:val="0"/>
          <w:caps w:val="0"/>
          <w:color w:val="484848"/>
          <w:spacing w:val="0"/>
          <w:sz w:val="24"/>
          <w:szCs w:val="24"/>
          <w:u w:val="none"/>
          <w:lang w:eastAsia="zh-CN"/>
        </w:rPr>
        <w:t>即：不隶属中心且不是中心职工的直系亲属</w:t>
      </w:r>
      <w:r>
        <w:rPr>
          <w:rFonts w:hint="eastAsia" w:ascii="仿宋" w:hAnsi="仿宋" w:eastAsia="仿宋" w:cs="仿宋"/>
          <w:i w:val="0"/>
          <w:iCs w:val="0"/>
          <w:caps w:val="0"/>
          <w:color w:val="484848"/>
          <w:spacing w:val="0"/>
          <w:sz w:val="24"/>
          <w:szCs w:val="24"/>
          <w:u w:val="none"/>
          <w:lang w:eastAsia="zh-CN"/>
        </w:rPr>
        <w:t>）社会人士中遴选产生，人数不得少于7人，并且应当有不同性别的委员</w:t>
      </w:r>
      <w:r>
        <w:rPr>
          <w:rFonts w:hint="default" w:ascii="仿宋" w:hAnsi="仿宋" w:eastAsia="仿宋" w:cs="仿宋"/>
          <w:i w:val="0"/>
          <w:iCs w:val="0"/>
          <w:caps w:val="0"/>
          <w:color w:val="484848"/>
          <w:spacing w:val="0"/>
          <w:sz w:val="24"/>
          <w:szCs w:val="24"/>
          <w:u w:val="none"/>
          <w:lang w:eastAsia="zh-CN"/>
        </w:rPr>
        <w:t>。</w:t>
      </w:r>
    </w:p>
    <w:p w14:paraId="4B7B3F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第七条 主任委员：伦理委员会设主任委员1名，副主任委员</w:t>
      </w:r>
      <w:r>
        <w:rPr>
          <w:rFonts w:hint="eastAsia" w:ascii="仿宋" w:hAnsi="仿宋" w:eastAsia="仿宋" w:cs="仿宋"/>
          <w:i w:val="0"/>
          <w:iCs w:val="0"/>
          <w:caps w:val="0"/>
          <w:color w:val="484848"/>
          <w:spacing w:val="0"/>
          <w:sz w:val="24"/>
          <w:szCs w:val="24"/>
          <w:u w:val="none"/>
          <w:lang w:val="en-US" w:eastAsia="zh-CN"/>
        </w:rPr>
        <w:t>3</w:t>
      </w:r>
      <w:r>
        <w:rPr>
          <w:rFonts w:hint="default" w:ascii="仿宋" w:hAnsi="仿宋" w:eastAsia="仿宋" w:cs="仿宋"/>
          <w:i w:val="0"/>
          <w:iCs w:val="0"/>
          <w:caps w:val="0"/>
          <w:color w:val="484848"/>
          <w:spacing w:val="0"/>
          <w:sz w:val="24"/>
          <w:szCs w:val="24"/>
          <w:u w:val="none"/>
          <w:lang w:eastAsia="zh-CN"/>
        </w:rPr>
        <w:t>名。主任委员负责主持审查会议，审签会议记录，审签决定文件。主任委员因故不能履行职责时，由副主任委员履行主任委员的职责。主任委员与其他委员之间不是领导与被领导的关系。</w:t>
      </w:r>
    </w:p>
    <w:p w14:paraId="61B7AB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八</w:t>
      </w:r>
      <w:r>
        <w:rPr>
          <w:rFonts w:hint="default" w:ascii="仿宋" w:hAnsi="仿宋" w:eastAsia="仿宋" w:cs="仿宋"/>
          <w:i w:val="0"/>
          <w:iCs w:val="0"/>
          <w:caps w:val="0"/>
          <w:color w:val="484848"/>
          <w:spacing w:val="0"/>
          <w:sz w:val="24"/>
          <w:szCs w:val="24"/>
          <w:u w:val="none"/>
          <w:lang w:eastAsia="zh-CN"/>
        </w:rPr>
        <w:t>条 招募/推荐：中心采取公开招募或者推荐的方式，形成伦理委员会委员的候选人员名单。</w:t>
      </w:r>
    </w:p>
    <w:p w14:paraId="12D08C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九</w:t>
      </w:r>
      <w:r>
        <w:rPr>
          <w:rFonts w:hint="default" w:ascii="仿宋" w:hAnsi="仿宋" w:eastAsia="仿宋" w:cs="仿宋"/>
          <w:i w:val="0"/>
          <w:iCs w:val="0"/>
          <w:caps w:val="0"/>
          <w:color w:val="484848"/>
          <w:spacing w:val="0"/>
          <w:sz w:val="24"/>
          <w:szCs w:val="24"/>
          <w:u w:val="none"/>
          <w:lang w:eastAsia="zh-CN"/>
        </w:rPr>
        <w:t>条 聘任：中心负责伦理委员会委员的任命事项。中心颁发正式书面文件任命伦理委员会的主任委员、副主任委员、委员、秘书。</w:t>
      </w:r>
    </w:p>
    <w:p w14:paraId="6E3982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接受聘任的伦理委员会委员应当签署委员履职承诺书：同意公开自己的姓名、职业和隶属机构；同意遵循中心的研究利益冲突政策，公开与审查项目相关的利益冲突；同意接受伦理审查同意研究的标准和审查要点的培训，持续提高伦理审查能力；同意应要求公开与伦理审查工作相关的劳务补偿；同意遵循维护审查项目机密的规定。</w:t>
      </w:r>
    </w:p>
    <w:p w14:paraId="42C585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首次聘任的委员和秘书应当经过培训。</w:t>
      </w:r>
    </w:p>
    <w:p w14:paraId="083DC7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第十条 备案：中心应当在伦理委员会设立之日起3个月内向其执业登记机关或上级主管部门备案，并在医学研究登记备案信息系统上传信息。</w:t>
      </w:r>
    </w:p>
    <w:p w14:paraId="5BD80D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中心应当在官网公开伦理委员会的组织信息：伦理委员会的组织架构，各伦理分会的审查范围；委员的姓名、性别，职业、工作单位，伦理委员会的职务；伦理委员会的联系方式。</w:t>
      </w:r>
    </w:p>
    <w:p w14:paraId="4618D1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一</w:t>
      </w:r>
      <w:r>
        <w:rPr>
          <w:rFonts w:hint="default" w:ascii="仿宋" w:hAnsi="仿宋" w:eastAsia="仿宋" w:cs="仿宋"/>
          <w:i w:val="0"/>
          <w:iCs w:val="0"/>
          <w:caps w:val="0"/>
          <w:color w:val="484848"/>
          <w:spacing w:val="0"/>
          <w:sz w:val="24"/>
          <w:szCs w:val="24"/>
          <w:u w:val="none"/>
          <w:lang w:eastAsia="zh-CN"/>
        </w:rPr>
        <w:t>条 任期：伦理委员会每届任期</w:t>
      </w:r>
      <w:r>
        <w:rPr>
          <w:rFonts w:hint="eastAsia" w:ascii="仿宋" w:hAnsi="仿宋" w:eastAsia="仿宋" w:cs="仿宋"/>
          <w:i w:val="0"/>
          <w:iCs w:val="0"/>
          <w:caps w:val="0"/>
          <w:color w:val="484848"/>
          <w:spacing w:val="0"/>
          <w:sz w:val="24"/>
          <w:szCs w:val="24"/>
          <w:u w:val="none"/>
          <w:lang w:val="en-US" w:eastAsia="zh-CN"/>
        </w:rPr>
        <w:t>三</w:t>
      </w:r>
      <w:r>
        <w:rPr>
          <w:rFonts w:hint="default" w:ascii="仿宋" w:hAnsi="仿宋" w:eastAsia="仿宋" w:cs="仿宋"/>
          <w:i w:val="0"/>
          <w:iCs w:val="0"/>
          <w:caps w:val="0"/>
          <w:color w:val="484848"/>
          <w:spacing w:val="0"/>
          <w:sz w:val="24"/>
          <w:szCs w:val="24"/>
          <w:u w:val="none"/>
          <w:lang w:eastAsia="zh-CN"/>
        </w:rPr>
        <w:t>年。</w:t>
      </w:r>
    </w:p>
    <w:p w14:paraId="33F0DA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二</w:t>
      </w:r>
      <w:r>
        <w:rPr>
          <w:rFonts w:hint="default" w:ascii="仿宋" w:hAnsi="仿宋" w:eastAsia="仿宋" w:cs="仿宋"/>
          <w:i w:val="0"/>
          <w:iCs w:val="0"/>
          <w:caps w:val="0"/>
          <w:color w:val="484848"/>
          <w:spacing w:val="0"/>
          <w:sz w:val="24"/>
          <w:szCs w:val="24"/>
          <w:u w:val="none"/>
          <w:lang w:eastAsia="zh-CN"/>
        </w:rPr>
        <w:t>条 换届：伦理委员会的换届应当考虑审查能力的发展和工作的连续性。</w:t>
      </w:r>
    </w:p>
    <w:p w14:paraId="4DF516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三</w:t>
      </w:r>
      <w:r>
        <w:rPr>
          <w:rFonts w:hint="default" w:ascii="仿宋" w:hAnsi="仿宋" w:eastAsia="仿宋" w:cs="仿宋"/>
          <w:i w:val="0"/>
          <w:iCs w:val="0"/>
          <w:caps w:val="0"/>
          <w:color w:val="484848"/>
          <w:spacing w:val="0"/>
          <w:sz w:val="24"/>
          <w:szCs w:val="24"/>
          <w:u w:val="none"/>
          <w:lang w:eastAsia="zh-CN"/>
        </w:rPr>
        <w:t>条 辞职：委员因健康、工作调离或者其他个人原因不能继续履行委员的职责，应当书面申请辞去委员职务。</w:t>
      </w:r>
    </w:p>
    <w:p w14:paraId="24D9ED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sz w:val="32"/>
          <w:szCs w:val="32"/>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四</w:t>
      </w:r>
      <w:r>
        <w:rPr>
          <w:rFonts w:hint="default" w:ascii="仿宋" w:hAnsi="仿宋" w:eastAsia="仿宋" w:cs="仿宋"/>
          <w:i w:val="0"/>
          <w:iCs w:val="0"/>
          <w:caps w:val="0"/>
          <w:color w:val="484848"/>
          <w:spacing w:val="0"/>
          <w:sz w:val="24"/>
          <w:szCs w:val="24"/>
          <w:u w:val="none"/>
          <w:lang w:eastAsia="zh-CN"/>
        </w:rPr>
        <w:t>条 免职：中心负责伦理委员会委员的免职事项。以下情况可以免去委员资格：因各种原因缺席半数以上的年度伦理审查会议者；因道德行为规范与委员职责相违背，不适合继续担任委员者。免职决定以中心正式书面文件的方式发布。</w:t>
      </w:r>
    </w:p>
    <w:p w14:paraId="5230DD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五</w:t>
      </w:r>
      <w:r>
        <w:rPr>
          <w:rFonts w:hint="default" w:ascii="仿宋" w:hAnsi="仿宋" w:eastAsia="仿宋" w:cs="仿宋"/>
          <w:i w:val="0"/>
          <w:iCs w:val="0"/>
          <w:caps w:val="0"/>
          <w:color w:val="484848"/>
          <w:spacing w:val="0"/>
          <w:sz w:val="24"/>
          <w:szCs w:val="24"/>
          <w:u w:val="none"/>
          <w:lang w:eastAsia="zh-CN"/>
        </w:rPr>
        <w:t>条 替换：因委员辞职或免职，可以启动委员替换程序。根据资格相当的原则招募/推荐候选的替换委员。替换委员由中心主任办公会讨论决定。当选的替换委员以中心正式书面文件的方式任命。</w:t>
      </w:r>
    </w:p>
    <w:p w14:paraId="721537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六</w:t>
      </w:r>
      <w:r>
        <w:rPr>
          <w:rFonts w:hint="default" w:ascii="仿宋" w:hAnsi="仿宋" w:eastAsia="仿宋" w:cs="仿宋"/>
          <w:i w:val="0"/>
          <w:iCs w:val="0"/>
          <w:caps w:val="0"/>
          <w:color w:val="484848"/>
          <w:spacing w:val="0"/>
          <w:sz w:val="24"/>
          <w:szCs w:val="24"/>
          <w:u w:val="none"/>
          <w:lang w:eastAsia="zh-CN"/>
        </w:rPr>
        <w:t>条 考核：中心</w:t>
      </w:r>
      <w:r>
        <w:rPr>
          <w:rFonts w:hint="eastAsia" w:ascii="仿宋" w:hAnsi="仿宋" w:eastAsia="仿宋" w:cs="仿宋"/>
          <w:i w:val="0"/>
          <w:iCs w:val="0"/>
          <w:caps w:val="0"/>
          <w:color w:val="484848"/>
          <w:spacing w:val="0"/>
          <w:sz w:val="24"/>
          <w:szCs w:val="24"/>
          <w:u w:val="none"/>
          <w:lang w:val="en-US" w:eastAsia="zh-CN"/>
        </w:rPr>
        <w:t>人力资源科</w:t>
      </w:r>
      <w:r>
        <w:rPr>
          <w:rFonts w:hint="default" w:ascii="仿宋" w:hAnsi="仿宋" w:eastAsia="仿宋" w:cs="仿宋"/>
          <w:i w:val="0"/>
          <w:iCs w:val="0"/>
          <w:caps w:val="0"/>
          <w:color w:val="484848"/>
          <w:spacing w:val="0"/>
          <w:sz w:val="24"/>
          <w:szCs w:val="24"/>
          <w:u w:val="none"/>
          <w:lang w:eastAsia="zh-CN"/>
        </w:rPr>
        <w:t>负责组织对伦理委员会主任委员、副主任委员、委员、秘书履职能力的年度考核。中心定期评估伦理委员会的成员与组成，必要时加以调整，以保证伦理委员会能够胜任伦理审查的职责。</w:t>
      </w:r>
    </w:p>
    <w:p w14:paraId="0EAACA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34A429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第三章 伦理委员会的权利</w:t>
      </w:r>
    </w:p>
    <w:p w14:paraId="569706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七</w:t>
      </w:r>
      <w:r>
        <w:rPr>
          <w:rFonts w:hint="default" w:ascii="仿宋" w:hAnsi="仿宋" w:eastAsia="仿宋" w:cs="仿宋"/>
          <w:i w:val="0"/>
          <w:iCs w:val="0"/>
          <w:caps w:val="0"/>
          <w:color w:val="484848"/>
          <w:spacing w:val="0"/>
          <w:sz w:val="24"/>
          <w:szCs w:val="24"/>
          <w:u w:val="none"/>
          <w:lang w:eastAsia="zh-CN"/>
        </w:rPr>
        <w:t>条 权利：中心授予伦理委员会独立审查的职能和权利。伦理委员会的审查独立于被审查项目的研究者和申办者，并不受其他任何不当的影响。为确保伦理委员会的审查职能独立于中心的其他部门，中心授予伦理委员会以下权利：</w:t>
      </w:r>
      <w:r>
        <w:rPr>
          <w:rFonts w:hint="eastAsia" w:ascii="仿宋" w:hAnsi="仿宋" w:eastAsia="仿宋" w:cs="仿宋"/>
          <w:i w:val="0"/>
          <w:iCs w:val="0"/>
          <w:caps w:val="0"/>
          <w:color w:val="484848"/>
          <w:spacing w:val="0"/>
          <w:sz w:val="24"/>
          <w:szCs w:val="24"/>
          <w:u w:val="none"/>
          <w:lang w:eastAsia="zh-CN"/>
        </w:rPr>
        <w:t>批准、不批准、修改后批准、修改后再审、继续研究、暂停或者终止研究</w:t>
      </w:r>
      <w:r>
        <w:rPr>
          <w:rFonts w:hint="default" w:ascii="仿宋" w:hAnsi="仿宋" w:eastAsia="仿宋" w:cs="仿宋"/>
          <w:i w:val="0"/>
          <w:iCs w:val="0"/>
          <w:caps w:val="0"/>
          <w:color w:val="484848"/>
          <w:spacing w:val="0"/>
          <w:sz w:val="24"/>
          <w:szCs w:val="24"/>
          <w:u w:val="none"/>
          <w:lang w:eastAsia="zh-CN"/>
        </w:rPr>
        <w:t>；观察或让第三方观察知情同意的过程或研究的实施。</w:t>
      </w:r>
    </w:p>
    <w:p w14:paraId="0865CBC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八</w:t>
      </w:r>
      <w:r>
        <w:rPr>
          <w:rFonts w:hint="default" w:ascii="仿宋" w:hAnsi="仿宋" w:eastAsia="仿宋" w:cs="仿宋"/>
          <w:i w:val="0"/>
          <w:iCs w:val="0"/>
          <w:caps w:val="0"/>
          <w:color w:val="484848"/>
          <w:spacing w:val="0"/>
          <w:sz w:val="24"/>
          <w:szCs w:val="24"/>
          <w:u w:val="none"/>
          <w:lang w:eastAsia="zh-CN"/>
        </w:rPr>
        <w:t>条 独立审查权利的保证：中心领导和科研教育科可以按程序不批准、终止或者暂停伦理委员会已经审查同意的研究项目，但是不得批准实施未经伦理审查同意的研究项目。</w:t>
      </w:r>
    </w:p>
    <w:p w14:paraId="342356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受任命的副主任负责受理和处理伦理委员会委员、秘书报告的对伦理审查的不当影响。</w:t>
      </w:r>
    </w:p>
    <w:p w14:paraId="16C8B5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4D6A15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第四章</w:t>
      </w:r>
      <w:r>
        <w:rPr>
          <w:rFonts w:hint="default" w:ascii="微软雅黑" w:hAnsi="微软雅黑" w:eastAsia="微软雅黑" w:cs="微软雅黑"/>
          <w:i w:val="0"/>
          <w:iCs w:val="0"/>
          <w:caps w:val="0"/>
          <w:color w:val="484848"/>
          <w:spacing w:val="0"/>
          <w:sz w:val="28"/>
          <w:szCs w:val="28"/>
          <w:u w:val="none"/>
          <w:lang w:val="en-US" w:eastAsia="zh-CN"/>
        </w:rPr>
        <w:t xml:space="preserve"> </w:t>
      </w:r>
      <w:r>
        <w:rPr>
          <w:rFonts w:hint="default" w:ascii="微软雅黑" w:hAnsi="微软雅黑" w:eastAsia="微软雅黑" w:cs="微软雅黑"/>
          <w:i w:val="0"/>
          <w:iCs w:val="0"/>
          <w:caps w:val="0"/>
          <w:color w:val="484848"/>
          <w:spacing w:val="0"/>
          <w:sz w:val="28"/>
          <w:szCs w:val="28"/>
          <w:u w:val="none"/>
          <w:lang w:val="en-US" w:eastAsia="en-US"/>
        </w:rPr>
        <w:t>伦理委员会的资源</w:t>
      </w:r>
    </w:p>
    <w:p w14:paraId="212A7B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十九</w:t>
      </w:r>
      <w:r>
        <w:rPr>
          <w:rFonts w:hint="default" w:ascii="仿宋" w:hAnsi="仿宋" w:eastAsia="仿宋" w:cs="仿宋"/>
          <w:i w:val="0"/>
          <w:iCs w:val="0"/>
          <w:caps w:val="0"/>
          <w:color w:val="484848"/>
          <w:spacing w:val="0"/>
          <w:sz w:val="24"/>
          <w:szCs w:val="24"/>
          <w:u w:val="none"/>
          <w:lang w:eastAsia="zh-CN"/>
        </w:rPr>
        <w:t>条 管理资源：中心为伦理委员会配备胜任的、足够人数的秘书，提供所需的办公设备，可利用的档案室和会议室。中心为伦理委员会秘书的职业发展提供有利的条件。</w:t>
      </w:r>
    </w:p>
    <w:p w14:paraId="452EDD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第二十条 培训资源：中心为主任委员、副主任委员、委员、秘书提供充分的培训机会和时间，使其能够胜任其岗位职责。</w:t>
      </w:r>
    </w:p>
    <w:p w14:paraId="6ED5BF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w:t>
      </w:r>
      <w:r>
        <w:rPr>
          <w:rFonts w:hint="eastAsia" w:ascii="仿宋" w:hAnsi="仿宋" w:eastAsia="仿宋" w:cs="仿宋"/>
          <w:i w:val="0"/>
          <w:iCs w:val="0"/>
          <w:caps w:val="0"/>
          <w:color w:val="484848"/>
          <w:spacing w:val="0"/>
          <w:sz w:val="24"/>
          <w:szCs w:val="24"/>
          <w:u w:val="none"/>
          <w:lang w:val="en-US" w:eastAsia="zh-CN"/>
        </w:rPr>
        <w:t>一</w:t>
      </w:r>
      <w:r>
        <w:rPr>
          <w:rFonts w:hint="default" w:ascii="仿宋" w:hAnsi="仿宋" w:eastAsia="仿宋" w:cs="仿宋"/>
          <w:i w:val="0"/>
          <w:iCs w:val="0"/>
          <w:caps w:val="0"/>
          <w:color w:val="484848"/>
          <w:spacing w:val="0"/>
          <w:sz w:val="24"/>
          <w:szCs w:val="24"/>
          <w:u w:val="none"/>
          <w:lang w:eastAsia="zh-CN"/>
        </w:rPr>
        <w:t>条 财务资源：中心将伦理委员会的运行经费列入年度财务预算，以满足其人员、培训、设备、办公消耗品、审查劳务等支出的需要。经费使用按照中心财务管理规定执行。支付给委员的劳务补偿可以应要求公开。</w:t>
      </w:r>
    </w:p>
    <w:p w14:paraId="7C2271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450E9A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黑体" w:hAnsi="黑体" w:eastAsia="黑体" w:cs="黑体"/>
          <w:b/>
          <w:bCs w:val="0"/>
          <w:sz w:val="32"/>
          <w:szCs w:val="32"/>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第五章 伦理委员会的运行</w:t>
      </w:r>
    </w:p>
    <w:p w14:paraId="1B4ECD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w:t>
      </w:r>
      <w:r>
        <w:rPr>
          <w:rFonts w:hint="eastAsia" w:ascii="仿宋" w:hAnsi="仿宋" w:eastAsia="仿宋" w:cs="仿宋"/>
          <w:i w:val="0"/>
          <w:iCs w:val="0"/>
          <w:caps w:val="0"/>
          <w:color w:val="484848"/>
          <w:spacing w:val="0"/>
          <w:sz w:val="24"/>
          <w:szCs w:val="24"/>
          <w:u w:val="none"/>
          <w:lang w:val="en-US" w:eastAsia="zh-CN"/>
        </w:rPr>
        <w:t>二</w:t>
      </w:r>
      <w:r>
        <w:rPr>
          <w:rFonts w:hint="default" w:ascii="仿宋" w:hAnsi="仿宋" w:eastAsia="仿宋" w:cs="仿宋"/>
          <w:i w:val="0"/>
          <w:iCs w:val="0"/>
          <w:caps w:val="0"/>
          <w:color w:val="484848"/>
          <w:spacing w:val="0"/>
          <w:sz w:val="24"/>
          <w:szCs w:val="24"/>
          <w:u w:val="none"/>
          <w:lang w:eastAsia="zh-CN"/>
        </w:rPr>
        <w:t>条 职责：</w:t>
      </w:r>
      <w:r>
        <w:rPr>
          <w:rFonts w:hint="eastAsia" w:ascii="仿宋" w:hAnsi="仿宋" w:eastAsia="仿宋" w:cs="仿宋"/>
          <w:i w:val="0"/>
          <w:iCs w:val="0"/>
          <w:caps w:val="0"/>
          <w:color w:val="484848"/>
          <w:spacing w:val="0"/>
          <w:sz w:val="24"/>
          <w:szCs w:val="24"/>
          <w:u w:val="none"/>
          <w:lang w:eastAsia="zh-CN"/>
        </w:rPr>
        <w:t>伦理审查委员会对涉及人的生命科学和医学研究进行伦理审查，包括初始审查和跟踪审查；受理研究参与者的投诉并协调处理，确保研究不会将研究参与者置于不合理的风险之中；组织开展相关伦理审查培训，提供伦理咨询。</w:t>
      </w:r>
    </w:p>
    <w:p w14:paraId="6A7ED6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w:t>
      </w:r>
      <w:r>
        <w:rPr>
          <w:rFonts w:hint="eastAsia" w:ascii="仿宋" w:hAnsi="仿宋" w:eastAsia="仿宋" w:cs="仿宋"/>
          <w:i w:val="0"/>
          <w:iCs w:val="0"/>
          <w:caps w:val="0"/>
          <w:color w:val="484848"/>
          <w:spacing w:val="0"/>
          <w:sz w:val="24"/>
          <w:szCs w:val="24"/>
          <w:u w:val="none"/>
          <w:lang w:val="en-US" w:eastAsia="zh-CN"/>
        </w:rPr>
        <w:t>三</w:t>
      </w:r>
      <w:r>
        <w:rPr>
          <w:rFonts w:hint="default" w:ascii="仿宋" w:hAnsi="仿宋" w:eastAsia="仿宋" w:cs="仿宋"/>
          <w:i w:val="0"/>
          <w:iCs w:val="0"/>
          <w:caps w:val="0"/>
          <w:color w:val="484848"/>
          <w:spacing w:val="0"/>
          <w:sz w:val="24"/>
          <w:szCs w:val="24"/>
          <w:u w:val="none"/>
          <w:lang w:eastAsia="zh-CN"/>
        </w:rPr>
        <w:t xml:space="preserve">条 </w:t>
      </w:r>
      <w:r>
        <w:rPr>
          <w:rFonts w:hint="eastAsia" w:ascii="仿宋" w:hAnsi="仿宋" w:eastAsia="仿宋" w:cs="仿宋"/>
          <w:i w:val="0"/>
          <w:iCs w:val="0"/>
          <w:caps w:val="0"/>
          <w:color w:val="484848"/>
          <w:spacing w:val="0"/>
          <w:sz w:val="24"/>
          <w:szCs w:val="24"/>
          <w:u w:val="none"/>
          <w:lang w:eastAsia="zh-CN"/>
        </w:rPr>
        <w:t>伦理审查一般采取会议审查的方式。</w:t>
      </w:r>
    </w:p>
    <w:p w14:paraId="7CF12D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伦理委员会可以指定</w:t>
      </w:r>
      <w:r>
        <w:rPr>
          <w:rFonts w:hint="eastAsia" w:ascii="仿宋" w:hAnsi="仿宋" w:eastAsia="仿宋" w:cs="仿宋"/>
          <w:i w:val="0"/>
          <w:iCs w:val="0"/>
          <w:caps w:val="0"/>
          <w:color w:val="484848"/>
          <w:spacing w:val="0"/>
          <w:sz w:val="24"/>
          <w:szCs w:val="24"/>
          <w:u w:val="none"/>
          <w:lang w:eastAsia="zh-CN"/>
        </w:rPr>
        <w:t>两个或者以上</w:t>
      </w:r>
      <w:r>
        <w:rPr>
          <w:rFonts w:hint="default" w:ascii="仿宋" w:hAnsi="仿宋" w:eastAsia="仿宋" w:cs="仿宋"/>
          <w:i w:val="0"/>
          <w:iCs w:val="0"/>
          <w:caps w:val="0"/>
          <w:color w:val="484848"/>
          <w:spacing w:val="0"/>
          <w:sz w:val="24"/>
          <w:szCs w:val="24"/>
          <w:u w:val="none"/>
          <w:lang w:eastAsia="zh-CN"/>
        </w:rPr>
        <w:t>医学专业背景的委员作为所有安全性报告的主审，并由其决定是</w:t>
      </w:r>
      <w:r>
        <w:rPr>
          <w:rFonts w:hint="eastAsia" w:ascii="仿宋" w:hAnsi="仿宋" w:eastAsia="仿宋" w:cs="仿宋"/>
          <w:i w:val="0"/>
          <w:iCs w:val="0"/>
          <w:caps w:val="0"/>
          <w:color w:val="484848"/>
          <w:spacing w:val="0"/>
          <w:sz w:val="24"/>
          <w:szCs w:val="24"/>
          <w:u w:val="none"/>
          <w:lang w:eastAsia="zh-CN"/>
        </w:rPr>
        <w:t>简易程序审查</w:t>
      </w:r>
      <w:r>
        <w:rPr>
          <w:rFonts w:hint="default" w:ascii="仿宋" w:hAnsi="仿宋" w:eastAsia="仿宋" w:cs="仿宋"/>
          <w:i w:val="0"/>
          <w:iCs w:val="0"/>
          <w:caps w:val="0"/>
          <w:color w:val="484848"/>
          <w:spacing w:val="0"/>
          <w:sz w:val="24"/>
          <w:szCs w:val="24"/>
          <w:u w:val="none"/>
          <w:lang w:eastAsia="zh-CN"/>
        </w:rPr>
        <w:t>，还是提交会议审查。</w:t>
      </w:r>
    </w:p>
    <w:p w14:paraId="3EABF4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以下情形可以适用简易程序审查的方式：</w:t>
      </w:r>
    </w:p>
    <w:p w14:paraId="2FDF7808">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研究风险不大于最小风险的研究；</w:t>
      </w:r>
    </w:p>
    <w:p w14:paraId="14DC11F6">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leftChars="0" w:right="0" w:firstLine="420" w:firstLineChars="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已批准的研究方案作较小修改且不影响研究风险受益比的研究；</w:t>
      </w:r>
    </w:p>
    <w:p w14:paraId="4E3C430F">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leftChars="0" w:right="0" w:firstLine="420" w:firstLineChars="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已批准研究的跟踪审查；</w:t>
      </w:r>
    </w:p>
    <w:p w14:paraId="069AD29B">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leftChars="0" w:right="0" w:firstLine="420" w:firstLineChars="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多机构开展的研究中，参与机构的伦理审查委员会对牵头机构出具伦理审查意见的确认等。</w:t>
      </w:r>
    </w:p>
    <w:p w14:paraId="322B425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简易程序审查过程中，出现研究的风险受益比变化、审查委员之间意见不一致、审查委员提出需要会议审查等情形的，应调整为会议审查。简易程序审查意见应当在伦理审查委员会会议上报告。</w:t>
      </w:r>
    </w:p>
    <w:p w14:paraId="0660A8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w:t>
      </w:r>
      <w:r>
        <w:rPr>
          <w:rFonts w:hint="eastAsia" w:ascii="仿宋" w:hAnsi="仿宋" w:eastAsia="仿宋" w:cs="仿宋"/>
          <w:i w:val="0"/>
          <w:iCs w:val="0"/>
          <w:caps w:val="0"/>
          <w:color w:val="484848"/>
          <w:spacing w:val="0"/>
          <w:sz w:val="24"/>
          <w:szCs w:val="24"/>
          <w:u w:val="none"/>
          <w:lang w:val="en-US" w:eastAsia="zh-CN"/>
        </w:rPr>
        <w:t>四</w:t>
      </w:r>
      <w:r>
        <w:rPr>
          <w:rFonts w:hint="default" w:ascii="仿宋" w:hAnsi="仿宋" w:eastAsia="仿宋" w:cs="仿宋"/>
          <w:i w:val="0"/>
          <w:iCs w:val="0"/>
          <w:caps w:val="0"/>
          <w:color w:val="484848"/>
          <w:spacing w:val="0"/>
          <w:sz w:val="24"/>
          <w:szCs w:val="24"/>
          <w:u w:val="none"/>
          <w:lang w:eastAsia="zh-CN"/>
        </w:rPr>
        <w:t xml:space="preserve">条 </w:t>
      </w:r>
      <w:r>
        <w:rPr>
          <w:rFonts w:hint="eastAsia" w:ascii="仿宋" w:hAnsi="仿宋" w:eastAsia="仿宋" w:cs="仿宋"/>
          <w:i w:val="0"/>
          <w:iCs w:val="0"/>
          <w:caps w:val="0"/>
          <w:color w:val="484848"/>
          <w:spacing w:val="0"/>
          <w:sz w:val="24"/>
          <w:szCs w:val="24"/>
          <w:u w:val="none"/>
          <w:lang w:eastAsia="zh-CN"/>
        </w:rPr>
        <w:t>伦理审查委员会应当要求研究者提供审查所需材料，并在受理后30天内开展伦理审查并出具审查意见。</w:t>
      </w:r>
    </w:p>
    <w:p w14:paraId="32844E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情况紧急的，应当及时开展伦理审查。在疫情暴发等突发事件紧急情况下，一般在72小时内开展伦理审查、出具审查意见，并不得降低伦理审查的要求和质量。</w:t>
      </w:r>
    </w:p>
    <w:p w14:paraId="1D823C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w:t>
      </w:r>
      <w:r>
        <w:rPr>
          <w:rFonts w:hint="eastAsia" w:ascii="仿宋" w:hAnsi="仿宋" w:eastAsia="仿宋" w:cs="仿宋"/>
          <w:i w:val="0"/>
          <w:iCs w:val="0"/>
          <w:caps w:val="0"/>
          <w:color w:val="484848"/>
          <w:spacing w:val="0"/>
          <w:sz w:val="24"/>
          <w:szCs w:val="24"/>
          <w:u w:val="none"/>
          <w:lang w:val="en-US" w:eastAsia="zh-CN"/>
        </w:rPr>
        <w:t>五</w:t>
      </w:r>
      <w:r>
        <w:rPr>
          <w:rFonts w:hint="default" w:ascii="仿宋" w:hAnsi="仿宋" w:eastAsia="仿宋" w:cs="仿宋"/>
          <w:i w:val="0"/>
          <w:iCs w:val="0"/>
          <w:caps w:val="0"/>
          <w:color w:val="484848"/>
          <w:spacing w:val="0"/>
          <w:sz w:val="24"/>
          <w:szCs w:val="24"/>
          <w:u w:val="none"/>
          <w:lang w:eastAsia="zh-CN"/>
        </w:rPr>
        <w:t>条 主审/预审：伦理审查实行主审制，每个审查项目安排</w:t>
      </w:r>
      <w:r>
        <w:rPr>
          <w:rFonts w:hint="eastAsia" w:ascii="仿宋" w:hAnsi="仿宋" w:eastAsia="仿宋" w:cs="仿宋"/>
          <w:i w:val="0"/>
          <w:iCs w:val="0"/>
          <w:caps w:val="0"/>
          <w:color w:val="484848"/>
          <w:spacing w:val="0"/>
          <w:sz w:val="24"/>
          <w:szCs w:val="24"/>
          <w:u w:val="none"/>
          <w:lang w:eastAsia="zh-CN"/>
        </w:rPr>
        <w:t>两个或者以上</w:t>
      </w:r>
      <w:r>
        <w:rPr>
          <w:rFonts w:hint="default" w:ascii="仿宋" w:hAnsi="仿宋" w:eastAsia="仿宋" w:cs="仿宋"/>
          <w:i w:val="0"/>
          <w:iCs w:val="0"/>
          <w:caps w:val="0"/>
          <w:color w:val="484848"/>
          <w:spacing w:val="0"/>
          <w:sz w:val="24"/>
          <w:szCs w:val="24"/>
          <w:u w:val="none"/>
          <w:lang w:eastAsia="zh-CN"/>
        </w:rPr>
        <w:t>主审委员，主审委员应当记录审查工作表。审查会议实行预审制，委员应当在审查会议前预审送审项目。</w:t>
      </w:r>
    </w:p>
    <w:p w14:paraId="78356B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w:t>
      </w:r>
      <w:r>
        <w:rPr>
          <w:rFonts w:hint="eastAsia" w:ascii="仿宋" w:hAnsi="仿宋" w:eastAsia="仿宋" w:cs="仿宋"/>
          <w:i w:val="0"/>
          <w:iCs w:val="0"/>
          <w:caps w:val="0"/>
          <w:color w:val="484848"/>
          <w:spacing w:val="0"/>
          <w:sz w:val="24"/>
          <w:szCs w:val="24"/>
          <w:u w:val="none"/>
          <w:lang w:val="en-US" w:eastAsia="zh-CN"/>
        </w:rPr>
        <w:t>六</w:t>
      </w:r>
      <w:r>
        <w:rPr>
          <w:rFonts w:hint="default" w:ascii="仿宋" w:hAnsi="仿宋" w:eastAsia="仿宋" w:cs="仿宋"/>
          <w:i w:val="0"/>
          <w:iCs w:val="0"/>
          <w:caps w:val="0"/>
          <w:color w:val="484848"/>
          <w:spacing w:val="0"/>
          <w:sz w:val="24"/>
          <w:szCs w:val="24"/>
          <w:u w:val="none"/>
          <w:lang w:eastAsia="zh-CN"/>
        </w:rPr>
        <w:t>条 咨询：如果委员的专业知识不能胜任某研究项目的审查，或某研究项目的</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与委员的社会和文化背景明显不同时，应当咨询独立顾问。咨询独立顾问可以按程序邀请，或者主审委员在主审过程中直接联系专家以获得咨询意见。独立顾问应邀对研究项目的某方面问题提供咨询意见，但不具有表决权。</w:t>
      </w:r>
    </w:p>
    <w:p w14:paraId="2ACECA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第二十</w:t>
      </w:r>
      <w:r>
        <w:rPr>
          <w:rFonts w:hint="eastAsia" w:ascii="仿宋" w:hAnsi="仿宋" w:eastAsia="仿宋" w:cs="仿宋"/>
          <w:i w:val="0"/>
          <w:iCs w:val="0"/>
          <w:caps w:val="0"/>
          <w:color w:val="484848"/>
          <w:spacing w:val="0"/>
          <w:sz w:val="24"/>
          <w:szCs w:val="24"/>
          <w:u w:val="none"/>
          <w:lang w:val="en-US" w:eastAsia="zh-CN"/>
        </w:rPr>
        <w:t>七</w:t>
      </w:r>
      <w:r>
        <w:rPr>
          <w:rFonts w:hint="default" w:ascii="仿宋" w:hAnsi="仿宋" w:eastAsia="仿宋" w:cs="仿宋"/>
          <w:i w:val="0"/>
          <w:iCs w:val="0"/>
          <w:caps w:val="0"/>
          <w:color w:val="484848"/>
          <w:spacing w:val="0"/>
          <w:sz w:val="24"/>
          <w:szCs w:val="24"/>
          <w:u w:val="none"/>
          <w:lang w:eastAsia="zh-CN"/>
        </w:rPr>
        <w:t>条 法定人数：法定人数应当超过伦理委员会全体委员的半数，并不少于7人；应当包括医药专业、非医药专业的委员，独立于组织机构的委员，以及不同性别的委员。有利益冲突退出审查会议决定的委员，不计入法定人数。</w:t>
      </w:r>
    </w:p>
    <w:p w14:paraId="65621A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二十八</w:t>
      </w:r>
      <w:r>
        <w:rPr>
          <w:rFonts w:hint="default" w:ascii="仿宋" w:hAnsi="仿宋" w:eastAsia="仿宋" w:cs="仿宋"/>
          <w:i w:val="0"/>
          <w:iCs w:val="0"/>
          <w:caps w:val="0"/>
          <w:color w:val="484848"/>
          <w:spacing w:val="0"/>
          <w:sz w:val="24"/>
          <w:szCs w:val="24"/>
          <w:u w:val="none"/>
          <w:lang w:eastAsia="zh-CN"/>
        </w:rPr>
        <w:t>条 审查与决定：伦理委员会应当依据伦理审查同意一项研究的标准，对送审项目进行充分的审查和讨论。会议主持人概括讨论所形成的审查意见后提请表决。参加表决的委员应当符合法定人数，并参加伦理审查会议的讨论。审查决定的意见有：</w:t>
      </w:r>
      <w:r>
        <w:rPr>
          <w:rFonts w:hint="eastAsia" w:ascii="仿宋" w:hAnsi="仿宋" w:eastAsia="仿宋" w:cs="仿宋"/>
          <w:i w:val="0"/>
          <w:iCs w:val="0"/>
          <w:caps w:val="0"/>
          <w:color w:val="484848"/>
          <w:spacing w:val="0"/>
          <w:sz w:val="24"/>
          <w:szCs w:val="24"/>
          <w:u w:val="none"/>
          <w:lang w:eastAsia="zh-CN"/>
        </w:rPr>
        <w:t>批准、不批准、修改后批准、修改后再审、继续研究、暂停或者终止研究</w:t>
      </w:r>
      <w:r>
        <w:rPr>
          <w:rFonts w:hint="default" w:ascii="仿宋" w:hAnsi="仿宋" w:eastAsia="仿宋" w:cs="仿宋"/>
          <w:i w:val="0"/>
          <w:iCs w:val="0"/>
          <w:caps w:val="0"/>
          <w:color w:val="484848"/>
          <w:spacing w:val="0"/>
          <w:sz w:val="24"/>
          <w:szCs w:val="24"/>
          <w:u w:val="none"/>
          <w:lang w:eastAsia="zh-CN"/>
        </w:rPr>
        <w:t>。审查决定的票数应当超过伦理委员会全体委员的半数。会后应当及时传达审查决定。</w:t>
      </w:r>
    </w:p>
    <w:p w14:paraId="6F70C0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研究者/申办者对伦理委员会的审查决定有不同意见，可以提交复审，还可以要求与伦理委员会委员进行直接的沟通交流。</w:t>
      </w:r>
    </w:p>
    <w:p w14:paraId="2A000CA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二十九</w:t>
      </w:r>
      <w:r>
        <w:rPr>
          <w:rFonts w:hint="default" w:ascii="仿宋" w:hAnsi="仿宋" w:eastAsia="仿宋" w:cs="仿宋"/>
          <w:i w:val="0"/>
          <w:iCs w:val="0"/>
          <w:caps w:val="0"/>
          <w:color w:val="484848"/>
          <w:spacing w:val="0"/>
          <w:sz w:val="24"/>
          <w:szCs w:val="24"/>
          <w:u w:val="none"/>
          <w:lang w:eastAsia="zh-CN"/>
        </w:rPr>
        <w:t>条 利益冲突管理：伦理委员会委员应当遵循研究利益冲突政策，与审查项目存在利益冲突的委员应当主动声明，并退出该项目审查的讨论和决定程序。</w:t>
      </w:r>
    </w:p>
    <w:p w14:paraId="7F15AC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伦理委员会受中心的委托，依据中心研究利益冲突政策的规定，审查研究者的利益冲突声明。</w:t>
      </w:r>
    </w:p>
    <w:p w14:paraId="1D9999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第三十条 保密：伦理委员会委员对送审项目的文件负有保密的责任和义务，不得私自复制与外传，不得利用伦理审查所获知的信息为自己或第三方谋取商业利益。</w:t>
      </w:r>
    </w:p>
    <w:p w14:paraId="4FAC9AC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黑体" w:hAnsi="黑体" w:eastAsia="黑体" w:cs="黑体"/>
          <w:sz w:val="28"/>
          <w:szCs w:val="28"/>
          <w:lang w:val="en-US" w:eastAsia="zh-CN"/>
        </w:rPr>
      </w:pPr>
      <w:r>
        <w:rPr>
          <w:rFonts w:hint="default" w:ascii="仿宋" w:hAnsi="仿宋" w:eastAsia="仿宋" w:cs="仿宋"/>
          <w:i w:val="0"/>
          <w:iCs w:val="0"/>
          <w:caps w:val="0"/>
          <w:color w:val="484848"/>
          <w:spacing w:val="0"/>
          <w:sz w:val="24"/>
          <w:szCs w:val="24"/>
          <w:u w:val="none"/>
          <w:lang w:eastAsia="zh-CN"/>
        </w:rPr>
        <w:t>第三十</w:t>
      </w:r>
      <w:r>
        <w:rPr>
          <w:rFonts w:hint="eastAsia" w:ascii="仿宋" w:hAnsi="仿宋" w:eastAsia="仿宋" w:cs="仿宋"/>
          <w:i w:val="0"/>
          <w:iCs w:val="0"/>
          <w:caps w:val="0"/>
          <w:color w:val="484848"/>
          <w:spacing w:val="0"/>
          <w:sz w:val="24"/>
          <w:szCs w:val="24"/>
          <w:u w:val="none"/>
          <w:lang w:val="en-US" w:eastAsia="zh-CN"/>
        </w:rPr>
        <w:t>一</w:t>
      </w:r>
      <w:r>
        <w:rPr>
          <w:rFonts w:hint="default" w:ascii="仿宋" w:hAnsi="仿宋" w:eastAsia="仿宋" w:cs="仿宋"/>
          <w:i w:val="0"/>
          <w:iCs w:val="0"/>
          <w:caps w:val="0"/>
          <w:color w:val="484848"/>
          <w:spacing w:val="0"/>
          <w:sz w:val="24"/>
          <w:szCs w:val="24"/>
          <w:u w:val="none"/>
          <w:lang w:eastAsia="zh-CN"/>
        </w:rPr>
        <w:t>条 质量管理：伦理委员会应当对研究者对伦理审查程序提出的问题和建议做出回应。伦理委员会应当接受中心的内部审核和管理评审；接受政府卫生行政部门、药品监督管理部门的监督检查；接受独立第三方的研究伦理审查体系的质量认证。伦理委员会应当对检查发现的问题，以及认证审核发现的不符合项，采取相应的纠正和纠正措施。</w:t>
      </w:r>
      <w:bookmarkStart w:id="1" w:name="_GoBack"/>
      <w:bookmarkEnd w:id="1"/>
    </w:p>
    <w:p w14:paraId="2CE3D459">
      <w:pPr>
        <w:wordWrap w:val="0"/>
        <w:jc w:val="both"/>
        <w:rPr>
          <w:rFonts w:hint="eastAsia" w:ascii="黑体" w:hAnsi="黑体" w:eastAsia="黑体" w:cs="黑体"/>
          <w:sz w:val="28"/>
          <w:szCs w:val="28"/>
          <w:lang w:val="en-US" w:eastAsia="zh-CN"/>
        </w:rPr>
      </w:pPr>
    </w:p>
    <w:p w14:paraId="0F1B1925">
      <w:pPr>
        <w:wordWrap w:val="0"/>
        <w:jc w:val="both"/>
        <w:rPr>
          <w:rFonts w:hint="eastAsia" w:ascii="黑体" w:hAnsi="黑体" w:eastAsia="黑体" w:cs="黑体"/>
          <w:sz w:val="28"/>
          <w:szCs w:val="28"/>
          <w:lang w:val="en-US" w:eastAsia="zh-CN"/>
        </w:rPr>
      </w:pPr>
    </w:p>
    <w:p w14:paraId="5E8692B0">
      <w:pPr>
        <w:wordWrap w:val="0"/>
        <w:jc w:val="both"/>
        <w:rPr>
          <w:rFonts w:hint="eastAsia" w:ascii="黑体" w:hAnsi="黑体" w:eastAsia="黑体" w:cs="黑体"/>
          <w:sz w:val="28"/>
          <w:szCs w:val="28"/>
          <w:lang w:val="en-US" w:eastAsia="zh-CN"/>
        </w:rPr>
      </w:pPr>
    </w:p>
    <w:p w14:paraId="41D5E04F">
      <w:pPr>
        <w:wordWrap w:val="0"/>
        <w:jc w:val="both"/>
        <w:rPr>
          <w:rFonts w:hint="eastAsia" w:ascii="黑体" w:hAnsi="黑体" w:eastAsia="黑体" w:cs="黑体"/>
          <w:sz w:val="28"/>
          <w:szCs w:val="28"/>
          <w:lang w:val="en-US" w:eastAsia="zh-CN"/>
        </w:rPr>
      </w:pPr>
    </w:p>
    <w:p w14:paraId="5C9B5B44">
      <w:pPr>
        <w:wordWrap w:val="0"/>
        <w:jc w:val="both"/>
        <w:rPr>
          <w:rFonts w:hint="eastAsia" w:ascii="黑体" w:hAnsi="黑体" w:eastAsia="黑体" w:cs="黑体"/>
          <w:sz w:val="28"/>
          <w:szCs w:val="28"/>
          <w:lang w:val="en-US" w:eastAsia="zh-CN"/>
        </w:rPr>
      </w:pPr>
    </w:p>
    <w:p w14:paraId="63074C2B">
      <w:pPr>
        <w:wordWrap w:val="0"/>
        <w:jc w:val="both"/>
        <w:rPr>
          <w:rFonts w:hint="eastAsia" w:ascii="黑体" w:hAnsi="黑体" w:eastAsia="黑体" w:cs="黑体"/>
          <w:sz w:val="28"/>
          <w:szCs w:val="28"/>
          <w:lang w:val="en-US" w:eastAsia="zh-CN"/>
        </w:rPr>
      </w:pPr>
    </w:p>
    <w:p w14:paraId="6255E6F0">
      <w:pPr>
        <w:wordWrap w:val="0"/>
        <w:jc w:val="both"/>
        <w:rPr>
          <w:rFonts w:hint="eastAsia" w:ascii="黑体" w:hAnsi="黑体" w:eastAsia="黑体" w:cs="黑体"/>
          <w:sz w:val="28"/>
          <w:szCs w:val="28"/>
          <w:lang w:val="en-US" w:eastAsia="zh-CN"/>
        </w:rPr>
      </w:pPr>
    </w:p>
    <w:p w14:paraId="795F5431">
      <w:pPr>
        <w:wordWrap w:val="0"/>
        <w:jc w:val="both"/>
        <w:rPr>
          <w:rFonts w:hint="eastAsia" w:ascii="黑体" w:hAnsi="黑体" w:eastAsia="黑体" w:cs="黑体"/>
          <w:sz w:val="28"/>
          <w:szCs w:val="28"/>
          <w:lang w:val="en-US" w:eastAsia="zh-CN"/>
        </w:rPr>
      </w:pPr>
    </w:p>
    <w:p w14:paraId="7C08E323">
      <w:pPr>
        <w:wordWrap w:val="0"/>
        <w:jc w:val="both"/>
        <w:rPr>
          <w:rFonts w:hint="eastAsia" w:ascii="黑体" w:hAnsi="黑体" w:eastAsia="黑体" w:cs="黑体"/>
          <w:sz w:val="28"/>
          <w:szCs w:val="28"/>
          <w:lang w:val="en-US" w:eastAsia="zh-CN"/>
        </w:rPr>
      </w:pPr>
    </w:p>
    <w:p w14:paraId="24174EEA">
      <w:pPr>
        <w:wordWrap w:val="0"/>
        <w:jc w:val="both"/>
        <w:rPr>
          <w:rFonts w:hint="eastAsia" w:ascii="黑体" w:hAnsi="黑体" w:eastAsia="黑体" w:cs="黑体"/>
          <w:sz w:val="28"/>
          <w:szCs w:val="28"/>
          <w:lang w:val="en-US" w:eastAsia="zh-CN"/>
        </w:rPr>
      </w:pPr>
    </w:p>
    <w:p w14:paraId="76A53804">
      <w:pPr>
        <w:wordWrap w:val="0"/>
        <w:jc w:val="both"/>
        <w:rPr>
          <w:rFonts w:hint="eastAsia" w:ascii="黑体" w:hAnsi="黑体" w:eastAsia="黑体" w:cs="黑体"/>
          <w:sz w:val="28"/>
          <w:szCs w:val="28"/>
          <w:lang w:val="en-US" w:eastAsia="zh-CN"/>
        </w:rPr>
      </w:pPr>
    </w:p>
    <w:p w14:paraId="2E5B4523">
      <w:pPr>
        <w:wordWrap w:val="0"/>
        <w:jc w:val="both"/>
        <w:rPr>
          <w:rFonts w:hint="eastAsia" w:ascii="黑体" w:hAnsi="黑体" w:eastAsia="黑体" w:cs="黑体"/>
          <w:sz w:val="28"/>
          <w:szCs w:val="28"/>
          <w:lang w:val="en-US" w:eastAsia="zh-CN"/>
        </w:rPr>
      </w:pPr>
    </w:p>
    <w:p w14:paraId="62185DAB">
      <w:pPr>
        <w:wordWrap w:val="0"/>
        <w:jc w:val="both"/>
        <w:rPr>
          <w:rFonts w:hint="eastAsia" w:ascii="黑体" w:hAnsi="黑体" w:eastAsia="黑体" w:cs="黑体"/>
          <w:sz w:val="28"/>
          <w:szCs w:val="28"/>
          <w:lang w:val="en-US" w:eastAsia="zh-CN"/>
        </w:rPr>
      </w:pPr>
    </w:p>
    <w:p w14:paraId="33F17A7C">
      <w:pPr>
        <w:wordWrap w:val="0"/>
        <w:jc w:val="both"/>
        <w:rPr>
          <w:rFonts w:hint="eastAsia" w:ascii="黑体" w:hAnsi="黑体" w:eastAsia="黑体" w:cs="黑体"/>
          <w:sz w:val="28"/>
          <w:szCs w:val="28"/>
          <w:lang w:val="en-US" w:eastAsia="zh-CN"/>
        </w:rPr>
      </w:pPr>
    </w:p>
    <w:p w14:paraId="047394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jc w:val="both"/>
        <w:textAlignment w:val="auto"/>
        <w:rPr>
          <w:rFonts w:hint="default" w:ascii="微软雅黑" w:hAnsi="微软雅黑" w:eastAsia="微软雅黑" w:cs="微软雅黑"/>
          <w:i w:val="0"/>
          <w:iCs w:val="0"/>
          <w:caps w:val="0"/>
          <w:color w:val="484848"/>
          <w:spacing w:val="0"/>
          <w:sz w:val="36"/>
          <w:szCs w:val="36"/>
          <w:u w:val="none"/>
          <w:lang w:val="en-US"/>
        </w:rPr>
      </w:pPr>
    </w:p>
    <w:sectPr>
      <w:pgSz w:w="11906" w:h="16838"/>
      <w:pgMar w:top="2098" w:right="1361" w:bottom="198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EA00F5-FCEB-4683-807C-D00858A08A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embedRegular r:id="rId2" w:fontKey="{E4ED8A18-9DAD-46D6-9D37-5AAE0CFC49F2}"/>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11D6AA74-F23B-40CE-81E6-18E166A912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E8B00A"/>
    <w:multiLevelType w:val="singleLevel"/>
    <w:tmpl w:val="27E8B00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N2E5YzdmNWIyNzhkZjI3YjQzMDUxMGFhZTI5NDEifQ=="/>
  </w:docVars>
  <w:rsids>
    <w:rsidRoot w:val="333E0DCA"/>
    <w:rsid w:val="0049551E"/>
    <w:rsid w:val="0068459E"/>
    <w:rsid w:val="006E4176"/>
    <w:rsid w:val="00975515"/>
    <w:rsid w:val="00A72224"/>
    <w:rsid w:val="00CB5BA9"/>
    <w:rsid w:val="00D61AE1"/>
    <w:rsid w:val="012022EC"/>
    <w:rsid w:val="029A40AC"/>
    <w:rsid w:val="041C0265"/>
    <w:rsid w:val="05B272AB"/>
    <w:rsid w:val="0A03517F"/>
    <w:rsid w:val="0B01665E"/>
    <w:rsid w:val="0D22719E"/>
    <w:rsid w:val="0D6374DE"/>
    <w:rsid w:val="0D711EFB"/>
    <w:rsid w:val="0DFD3E3D"/>
    <w:rsid w:val="0F196F51"/>
    <w:rsid w:val="0FB94957"/>
    <w:rsid w:val="106821E9"/>
    <w:rsid w:val="11CA4966"/>
    <w:rsid w:val="122B322F"/>
    <w:rsid w:val="13470CB6"/>
    <w:rsid w:val="13B55D35"/>
    <w:rsid w:val="148705CE"/>
    <w:rsid w:val="157708C6"/>
    <w:rsid w:val="15BC396F"/>
    <w:rsid w:val="15E237B0"/>
    <w:rsid w:val="16666C4E"/>
    <w:rsid w:val="170F595D"/>
    <w:rsid w:val="18F0751B"/>
    <w:rsid w:val="1990210F"/>
    <w:rsid w:val="19A0310C"/>
    <w:rsid w:val="1A456BC2"/>
    <w:rsid w:val="1D39260F"/>
    <w:rsid w:val="1D532CE0"/>
    <w:rsid w:val="210C1CAE"/>
    <w:rsid w:val="215F3196"/>
    <w:rsid w:val="2223097F"/>
    <w:rsid w:val="236C49D9"/>
    <w:rsid w:val="24474810"/>
    <w:rsid w:val="248D3477"/>
    <w:rsid w:val="24BF41E3"/>
    <w:rsid w:val="2500187D"/>
    <w:rsid w:val="25491022"/>
    <w:rsid w:val="25957727"/>
    <w:rsid w:val="266D769A"/>
    <w:rsid w:val="29873611"/>
    <w:rsid w:val="2CBD4765"/>
    <w:rsid w:val="2E0B2750"/>
    <w:rsid w:val="32F9052C"/>
    <w:rsid w:val="333E0DCA"/>
    <w:rsid w:val="34ED2B7D"/>
    <w:rsid w:val="37437BB7"/>
    <w:rsid w:val="375D4D8C"/>
    <w:rsid w:val="38157F0F"/>
    <w:rsid w:val="386E4789"/>
    <w:rsid w:val="388E0AE1"/>
    <w:rsid w:val="38CD34FA"/>
    <w:rsid w:val="3A994EA4"/>
    <w:rsid w:val="3A9C6634"/>
    <w:rsid w:val="3AE076E5"/>
    <w:rsid w:val="3B02499E"/>
    <w:rsid w:val="3B755FE8"/>
    <w:rsid w:val="3C7F5D0C"/>
    <w:rsid w:val="3CD37DD4"/>
    <w:rsid w:val="3EC4709A"/>
    <w:rsid w:val="3FA44BD6"/>
    <w:rsid w:val="410E65CB"/>
    <w:rsid w:val="41587BCF"/>
    <w:rsid w:val="43535909"/>
    <w:rsid w:val="444A7FC7"/>
    <w:rsid w:val="44DC2375"/>
    <w:rsid w:val="44F90035"/>
    <w:rsid w:val="451A1F25"/>
    <w:rsid w:val="46143BDC"/>
    <w:rsid w:val="46313EB0"/>
    <w:rsid w:val="47BC0706"/>
    <w:rsid w:val="485B27A2"/>
    <w:rsid w:val="492A2738"/>
    <w:rsid w:val="49F0561D"/>
    <w:rsid w:val="4A131819"/>
    <w:rsid w:val="4C982FA6"/>
    <w:rsid w:val="4D3E1488"/>
    <w:rsid w:val="4E04464B"/>
    <w:rsid w:val="4F5972B9"/>
    <w:rsid w:val="501B2879"/>
    <w:rsid w:val="507B60D8"/>
    <w:rsid w:val="50CC248F"/>
    <w:rsid w:val="50E914C6"/>
    <w:rsid w:val="512745DB"/>
    <w:rsid w:val="5205280F"/>
    <w:rsid w:val="533F4E4A"/>
    <w:rsid w:val="53C8251B"/>
    <w:rsid w:val="563034C0"/>
    <w:rsid w:val="56CA5FF0"/>
    <w:rsid w:val="5715111A"/>
    <w:rsid w:val="57155A2B"/>
    <w:rsid w:val="58E8118D"/>
    <w:rsid w:val="5C4922B7"/>
    <w:rsid w:val="5C8909E3"/>
    <w:rsid w:val="5E186247"/>
    <w:rsid w:val="5F8507E7"/>
    <w:rsid w:val="606745F8"/>
    <w:rsid w:val="62162AE1"/>
    <w:rsid w:val="62396679"/>
    <w:rsid w:val="62455F89"/>
    <w:rsid w:val="625D6F5F"/>
    <w:rsid w:val="63D3192F"/>
    <w:rsid w:val="63DF4869"/>
    <w:rsid w:val="6453660D"/>
    <w:rsid w:val="64B40870"/>
    <w:rsid w:val="64BD5616"/>
    <w:rsid w:val="656B1A72"/>
    <w:rsid w:val="661F2B3F"/>
    <w:rsid w:val="6637243F"/>
    <w:rsid w:val="67DC3DF5"/>
    <w:rsid w:val="69CA5146"/>
    <w:rsid w:val="6AB87B92"/>
    <w:rsid w:val="6DC56C0D"/>
    <w:rsid w:val="6DE9247B"/>
    <w:rsid w:val="6F9112EA"/>
    <w:rsid w:val="703E4022"/>
    <w:rsid w:val="71314DB8"/>
    <w:rsid w:val="725027DB"/>
    <w:rsid w:val="73B73660"/>
    <w:rsid w:val="74E05ECF"/>
    <w:rsid w:val="758A6E3D"/>
    <w:rsid w:val="767F1F7B"/>
    <w:rsid w:val="76FFD173"/>
    <w:rsid w:val="77045663"/>
    <w:rsid w:val="77157A2F"/>
    <w:rsid w:val="779812C8"/>
    <w:rsid w:val="78A248BF"/>
    <w:rsid w:val="78B73852"/>
    <w:rsid w:val="7B80125D"/>
    <w:rsid w:val="7BFB8284"/>
    <w:rsid w:val="7DAC69B0"/>
    <w:rsid w:val="7DE26685"/>
    <w:rsid w:val="7E797181"/>
    <w:rsid w:val="7E8A5D41"/>
    <w:rsid w:val="7EFB52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9"/>
    <w:pPr>
      <w:keepNext/>
      <w:keepLines/>
      <w:spacing w:before="260" w:beforeLines="0" w:beforeAutospacing="0" w:after="260" w:afterLines="0" w:afterAutospacing="0" w:line="360" w:lineRule="auto"/>
      <w:jc w:val="center"/>
      <w:outlineLvl w:val="2"/>
    </w:pPr>
    <w:rPr>
      <w:rFonts w:eastAsia="黑体"/>
      <w:sz w:val="28"/>
    </w:rPr>
  </w:style>
  <w:style w:type="paragraph" w:styleId="3">
    <w:name w:val="heading 4"/>
    <w:basedOn w:val="1"/>
    <w:next w:val="1"/>
    <w:semiHidden/>
    <w:unhideWhenUsed/>
    <w:qFormat/>
    <w:uiPriority w:val="9"/>
    <w:pPr>
      <w:keepNext/>
      <w:keepLines/>
      <w:spacing w:before="280" w:beforeLines="0" w:beforeAutospacing="0" w:after="290" w:afterLines="0" w:afterAutospacing="0" w:line="360" w:lineRule="auto"/>
      <w:jc w:val="center"/>
      <w:outlineLvl w:val="3"/>
    </w:pPr>
    <w:rPr>
      <w:rFonts w:eastAsia="黑体"/>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semiHidden/>
    <w:unhideWhenUsed/>
    <w:qFormat/>
    <w:uiPriority w:val="39"/>
    <w:pPr>
      <w:ind w:left="840" w:leftChars="400"/>
    </w:pPr>
  </w:style>
  <w:style w:type="paragraph" w:styleId="5">
    <w:name w:val="Plain Text"/>
    <w:basedOn w:val="1"/>
    <w:link w:val="12"/>
    <w:qFormat/>
    <w:uiPriority w:val="0"/>
    <w:rPr>
      <w:rFonts w:hint="eastAsia" w:ascii="等线" w:hAnsi="Courier New" w:eastAsia="等线" w:cs="Times New Roman"/>
      <w:szCs w:val="22"/>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800080"/>
      <w:u w:val="none"/>
    </w:rPr>
  </w:style>
  <w:style w:type="character" w:styleId="11">
    <w:name w:val="Hyperlink"/>
    <w:basedOn w:val="9"/>
    <w:qFormat/>
    <w:uiPriority w:val="0"/>
    <w:rPr>
      <w:color w:val="0000FF"/>
      <w:u w:val="none"/>
    </w:rPr>
  </w:style>
  <w:style w:type="character" w:customStyle="1" w:styleId="12">
    <w:name w:val="纯文本 字符"/>
    <w:basedOn w:val="9"/>
    <w:link w:val="5"/>
    <w:qFormat/>
    <w:uiPriority w:val="0"/>
    <w:rPr>
      <w:rFonts w:hint="eastAsia" w:ascii="等线" w:hAnsi="Courier New" w:eastAsia="等线" w:cs="Courier New"/>
    </w:rPr>
  </w:style>
  <w:style w:type="paragraph" w:customStyle="1" w:styleId="13">
    <w:name w:val="_Style 7"/>
    <w:basedOn w:val="1"/>
    <w:next w:val="1"/>
    <w:qFormat/>
    <w:uiPriority w:val="0"/>
    <w:pPr>
      <w:pBdr>
        <w:bottom w:val="single" w:color="auto" w:sz="6" w:space="1"/>
      </w:pBdr>
      <w:jc w:val="center"/>
    </w:pPr>
    <w:rPr>
      <w:rFonts w:ascii="Arial" w:eastAsia="宋体"/>
      <w:vanish/>
      <w:sz w:val="16"/>
    </w:rPr>
  </w:style>
  <w:style w:type="paragraph" w:customStyle="1" w:styleId="14">
    <w:name w:val="_Style 8"/>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10241</Words>
  <Characters>10294</Characters>
  <Lines>11</Lines>
  <Paragraphs>3</Paragraphs>
  <TotalTime>1</TotalTime>
  <ScaleCrop>false</ScaleCrop>
  <LinksUpToDate>false</LinksUpToDate>
  <CharactersWithSpaces>10470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2022-06-13T22:20:00Z</dcterms:created>
  <dc:creator>胖明明z</dc:creator>
  <cp:lastModifiedBy>胖明明z</cp:lastModifiedBy>
  <cp:lastPrinted>2026-05-25T01:43:00Z</cp:lastPrinted>
  <dcterms:modified xsi:type="dcterms:W3CDTF">2026-07-02T06:35:22Z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1E34F5F80FB54EE1B45E7C8D9128302F_13</vt:lpwstr>
  </property>
  <property fmtid="{D5CDD505-2E9C-101B-9397-08002B2CF9AE}" pid="4" name="KSOTemplateDocerSaveRecord">
    <vt:lpwstr>eyJoZGlkIjoiODU3YWQxNWU5ZWZlOTMxNDRjOTQxNDJjNGMzYzc1YzEiLCJ1c2VySWQiOiI1MjI0OTYwODMifQ==</vt:lpwstr>
  </property>
</Properties>
</file>