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jc w:val="center"/>
      </w:pPr>
      <w:r>
        <w:rPr>
          <w:rFonts w:hint="eastAsia"/>
        </w:rPr>
        <w:t>采购需求</w:t>
      </w:r>
    </w:p>
    <w:p w14:paraId="5FE9E78E"/>
    <w:p w14:paraId="07F88341">
      <w:pPr>
        <w:spacing w:line="312" w:lineRule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一、具体维保内容：</w:t>
      </w:r>
    </w:p>
    <w:tbl>
      <w:tblPr>
        <w:tblStyle w:val="7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7203"/>
        <w:gridCol w:w="993"/>
        <w:gridCol w:w="1417"/>
        <w:gridCol w:w="2126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6" w:type="dxa"/>
            <w:vAlign w:val="center"/>
          </w:tcPr>
          <w:p w14:paraId="22213812">
            <w:pPr>
              <w:pStyle w:val="3"/>
              <w:rPr>
                <w:rFonts w:hint="eastAsia"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vAlign w:val="center"/>
          </w:tcPr>
          <w:p w14:paraId="69B2EA71">
            <w:pPr>
              <w:pStyle w:val="3"/>
              <w:jc w:val="center"/>
              <w:rPr>
                <w:rFonts w:hint="eastAsia"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货物名称</w:t>
            </w:r>
          </w:p>
        </w:tc>
        <w:tc>
          <w:tcPr>
            <w:tcW w:w="7203" w:type="dxa"/>
            <w:vAlign w:val="center"/>
          </w:tcPr>
          <w:p w14:paraId="3DD81A40">
            <w:pPr>
              <w:pStyle w:val="3"/>
              <w:jc w:val="center"/>
              <w:rPr>
                <w:rFonts w:hint="eastAsia"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93" w:type="dxa"/>
            <w:vAlign w:val="center"/>
          </w:tcPr>
          <w:p w14:paraId="08FB7C61">
            <w:pPr>
              <w:pStyle w:val="3"/>
              <w:jc w:val="center"/>
              <w:rPr>
                <w:rFonts w:hint="eastAsia"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1417" w:type="dxa"/>
            <w:vAlign w:val="center"/>
          </w:tcPr>
          <w:p w14:paraId="211025E5">
            <w:pPr>
              <w:pStyle w:val="3"/>
              <w:jc w:val="center"/>
              <w:rPr>
                <w:rFonts w:hint="eastAsia"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2126" w:type="dxa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预算总额</w:t>
            </w:r>
          </w:p>
          <w:p w14:paraId="3D3F0C6B">
            <w:pPr>
              <w:jc w:val="center"/>
              <w:rPr>
                <w:rFonts w:hint="eastAsia" w:asciiTheme="minorEastAsia" w:hAnsi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(元)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1915" w:type="dxa"/>
            <w:vAlign w:val="center"/>
          </w:tcPr>
          <w:p w14:paraId="1307B715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  <w:r>
              <w:rPr>
                <w:rFonts w:hint="eastAsia" w:ascii="华文楷体" w:hAnsi="华文楷体" w:eastAsia="华文楷体" w:cs="华文楷体"/>
                <w:sz w:val="22"/>
              </w:rPr>
              <w:t>高等级病原微生物实验室（p3）</w:t>
            </w:r>
          </w:p>
          <w:p w14:paraId="3C6BBE27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  <w:r>
              <w:rPr>
                <w:rFonts w:hint="eastAsia" w:ascii="华文楷体" w:hAnsi="华文楷体" w:eastAsia="华文楷体" w:cs="华文楷体"/>
                <w:sz w:val="22"/>
              </w:rPr>
              <w:t>维保服务</w:t>
            </w:r>
          </w:p>
          <w:p w14:paraId="014A463A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  <w:r>
              <w:rPr>
                <w:rFonts w:hint="eastAsia" w:ascii="华文楷体" w:hAnsi="华文楷体" w:eastAsia="华文楷体" w:cs="华文楷体"/>
                <w:sz w:val="22"/>
              </w:rPr>
              <w:t>C16070000</w:t>
            </w:r>
          </w:p>
        </w:tc>
        <w:tc>
          <w:tcPr>
            <w:tcW w:w="7203" w:type="dxa"/>
            <w:vAlign w:val="center"/>
          </w:tcPr>
          <w:p w14:paraId="479C47B5">
            <w:pPr>
              <w:pStyle w:val="10"/>
              <w:numPr>
                <w:ilvl w:val="0"/>
                <w:numId w:val="1"/>
              </w:numPr>
              <w:spacing w:line="120" w:lineRule="auto"/>
              <w:ind w:firstLineChars="0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实验室送风系统</w:t>
            </w:r>
          </w:p>
          <w:p w14:paraId="478D4E10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（1）新风入口初效过滤器-拆除、清洗、安装、调试（每季度</w:t>
            </w:r>
            <w:bookmarkStart w:id="0" w:name="OLE_LINK1"/>
            <w:r>
              <w:rPr>
                <w:rFonts w:hint="eastAsia" w:ascii="宋体" w:hAnsi="宋体" w:cs="宋体-方正超大字符集"/>
                <w:sz w:val="24"/>
              </w:rPr>
              <w:t>至少</w:t>
            </w:r>
            <w:bookmarkEnd w:id="0"/>
            <w:r>
              <w:rPr>
                <w:rFonts w:hint="eastAsia" w:ascii="宋体" w:hAnsi="宋体" w:cs="宋体-方正超大字符集"/>
                <w:sz w:val="24"/>
              </w:rPr>
              <w:t>一次）；</w:t>
            </w:r>
          </w:p>
          <w:p w14:paraId="39CECA4A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（2）送风管道-检查是否有保温脱落，进户管道周边是否有漏点、减震木条等是否完好（每季度至少一次）；</w:t>
            </w:r>
          </w:p>
          <w:p w14:paraId="3CF6794C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（3）新风管道-检查管道连接状态保障新风组件正常有效（每季度一次）；</w:t>
            </w:r>
          </w:p>
          <w:p w14:paraId="4353D822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（4）中效过滤器-更换中效过滤器、清理：过滤器舱体，风机与过滤器连接舱体（半年至少一次）；</w:t>
            </w:r>
          </w:p>
          <w:p w14:paraId="3A636D0D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（5）加热段-检查所有电气连接点，调整和紧固触点；温度传感器测试、统调，</w:t>
            </w:r>
            <w:r>
              <w:rPr>
                <w:rFonts w:hint="eastAsia"/>
                <w:sz w:val="24"/>
              </w:rPr>
              <w:t>确保显示值与实测值保持一致；</w:t>
            </w:r>
            <w:r>
              <w:rPr>
                <w:rFonts w:hint="eastAsia" w:ascii="宋体" w:hAnsi="宋体" w:cs="宋体-方正超大字符集"/>
                <w:sz w:val="24"/>
              </w:rPr>
              <w:t>检查电加热器是否有失效器件、检查调试温度控制器工作状态、检查电气接地效果（每季度至少一次）；</w:t>
            </w:r>
          </w:p>
          <w:p w14:paraId="180E5A93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</w:t>
            </w:r>
            <w:r>
              <w:rPr>
                <w:rFonts w:ascii="宋体" w:hAnsi="宋体" w:cs="宋体-方正超大字符集"/>
                <w:sz w:val="24"/>
              </w:rPr>
              <w:t>6</w:t>
            </w:r>
            <w:r>
              <w:rPr>
                <w:rFonts w:hint="eastAsia" w:ascii="宋体" w:hAnsi="宋体" w:cs="宋体-方正超大字符集"/>
                <w:sz w:val="24"/>
              </w:rPr>
              <w:t>）送风机系统-风机保养维护：空载运行，旋转系统维护，震动检查，送风机工况情况及主备风机切换工况检测；风机电气系统检测；风机出风口与空调机箱连接密封性检查；主备送风机互换运行测试：互换状态设定，互换运行对送风量的影响，检查本系统的控制器；风机切换时对实验室内压力梯度的影响测试；风机电气控制系统检测，调试和故障排除(每季度至少一次)；</w:t>
            </w:r>
          </w:p>
          <w:p w14:paraId="0B880B0E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（7）空调系统-室外机组清理：清楚机组周围和机组本身的积灰；制冷机组检测和维护（每季度至少一次）。</w:t>
            </w:r>
          </w:p>
          <w:p w14:paraId="79B5B6E7">
            <w:pPr>
              <w:pStyle w:val="10"/>
              <w:numPr>
                <w:ilvl w:val="0"/>
                <w:numId w:val="1"/>
              </w:numPr>
              <w:spacing w:line="120" w:lineRule="auto"/>
              <w:ind w:firstLineChars="0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实验室排风系统</w:t>
            </w:r>
          </w:p>
          <w:p w14:paraId="7DC30C7C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（1）楼顶室外排风管道-检查楼顶排风系统</w:t>
            </w:r>
            <w:r>
              <w:rPr>
                <w:rFonts w:hint="eastAsia"/>
                <w:sz w:val="24"/>
              </w:rPr>
              <w:t>管道连接状态，确保排风组件正常有效；</w:t>
            </w:r>
            <w:r>
              <w:rPr>
                <w:rFonts w:hint="eastAsia" w:ascii="宋体" w:hAnsi="宋体" w:cs="宋体-方正超大字符集"/>
                <w:sz w:val="24"/>
              </w:rPr>
              <w:t>检查排风筒的三防（防雨、防虫、防鼠）功能，并进行清理（每季度至少一次）；</w:t>
            </w:r>
          </w:p>
          <w:p w14:paraId="1D40E885">
            <w:pPr>
              <w:spacing w:line="120" w:lineRule="auto"/>
              <w:rPr>
                <w:rFonts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2）排风风机箱-检修排风机，空载运行状态测试，电气接线和接点检查，风机震动检查；风机箱密闭检查，结构是否牢固，导向板是否牢固，单向止回阀门是否有效；检修门是否密闭完好，做2台排风机的自动切换试验，保存记录备查；风机切换时对实验室内压力梯度的影响测试，且不可产生逆流现象；风机箱是否稳固落地，与管道连接是否有变形等（每季度至少一次）；</w:t>
            </w:r>
          </w:p>
          <w:p w14:paraId="1065A0D6">
            <w:pPr>
              <w:pStyle w:val="10"/>
              <w:numPr>
                <w:ilvl w:val="0"/>
                <w:numId w:val="1"/>
              </w:numPr>
              <w:spacing w:line="120" w:lineRule="auto"/>
              <w:ind w:firstLineChars="0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高效过滤系统</w:t>
            </w:r>
          </w:p>
          <w:p w14:paraId="35845479">
            <w:pPr>
              <w:adjustRightInd w:val="0"/>
              <w:snapToGrid w:val="0"/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（1）检查监测高效过滤器阻力系统状态，确保高效过滤器阻力在控制值范围，必要时更换高效过滤器（每季度至少一次）。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（2）送风过滤器风量风速检测，依据检测结果进行风量调整，确保满足GB50346要求。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（3）按照更换高效过滤器的操作规程对高效过滤器进行更换，配合甲方做好更换后过滤器的消毒、运出移交专业废物处理公司销毁（至少每年一次，或视实验室使用及高效过滤器检测情况）。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（4）更换工作完成后进行风量，泄漏测试，确保满足GB50346要求（至少每年一次）。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（5）初、中、高效过滤器采用备品备件清单，统一由甲方清点存储，以需要实际发生更换为主。初中效及高效维保清单。</w:t>
            </w:r>
          </w:p>
          <w:p w14:paraId="62F75E24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（6）如遇压差异常须查明原因并根据情况更换高效过滤器。</w:t>
            </w:r>
          </w:p>
          <w:p w14:paraId="76657DCF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四、综合布线系统</w:t>
            </w:r>
          </w:p>
          <w:p w14:paraId="074D2AA2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（1）对讲系统-检查对讲主机、各个按键是否有效，通话是否清晰；检查各个分机使用现状，通话，呼叫效果（每季度至少一次）；</w:t>
            </w:r>
          </w:p>
          <w:p w14:paraId="1BBA3BAE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（2）门禁系统-检查门禁刷卡或指纹是否有无效情况，门禁电源接触情况；门磁锁是否有松动或脱落现象，紧急开关是否有效等，更换损毁或老化的电子元器件（每季度至少一次）；</w:t>
            </w:r>
          </w:p>
          <w:p w14:paraId="3268DF4A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3）监控系统-检查硬盘录像机工作状态，遥控器使用现状，是否保护完好，程序使用状态，检查监视器工作状态，显示是否正常，电源线和信号线是否连接牢固；各个部位的摄像头图像是否清晰，擦拭镜头，检查信号线是否连接牢固（每季度至少一次）；</w:t>
            </w:r>
          </w:p>
          <w:p w14:paraId="7AA33E02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（4）网络系统-检查、测试网线通断情况，常用接口是否完好；检查路由器工作状态，所有网线连接是否正确和接触正常（每季度至少一次）；</w:t>
            </w:r>
          </w:p>
          <w:p w14:paraId="1BB2C05A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5）自动控制系统-检查实验室所有自控元器件工作状态，所有信号线连接是否正确和接触正常；检查实验室压力控制是否正常，确保满足GB50346要求；检查并确保实验室恒温恒湿控制是否正常；检查并确保实验室内双门的互锁装置工作是否正常；检查查并确保出现应急情况能否正常启动报警；查阅自控数据库，报表显示与记录是否正常，能否自动保存（每季度至少一次）。</w:t>
            </w:r>
          </w:p>
          <w:p w14:paraId="4DC43556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五、</w:t>
            </w:r>
            <w:r>
              <w:rPr>
                <w:rFonts w:hint="eastAsia" w:ascii="宋体" w:hAnsi="宋体" w:cs="宋体-方正超大字符集"/>
                <w:b/>
                <w:sz w:val="24"/>
              </w:rPr>
              <w:t>供气系统</w:t>
            </w:r>
          </w:p>
          <w:p w14:paraId="50A039DC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二氧化碳系统-锁气瓶链条是否牢固；不锈钢管道是否有漏气现象，管道与阀门的接口处是否有泄漏，阀门是否好用；供气止回阀是否正常工作，不用气体时应关闭气体阀门；检查气瓶间内顶部安装的安全通风阀门，检查顶部防护网是否有效，有无堵塞情况；</w:t>
            </w:r>
          </w:p>
          <w:p w14:paraId="67CA2A0C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六、纯水系统</w:t>
            </w:r>
          </w:p>
          <w:p w14:paraId="45E86E0E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（1）定期或者按要求更换纯水机滤芯。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（2）定期或者按要求更换活性炭、多介质过滤器（每半年至少一次）。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（3）保证纯水机正常工作，定期清洁维护，保证储存一定量纯水以供实验使用。</w:t>
            </w:r>
          </w:p>
          <w:p w14:paraId="57683913">
            <w:pPr>
              <w:spacing w:line="12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七、</w:t>
            </w:r>
            <w:r>
              <w:rPr>
                <w:rFonts w:ascii="宋体" w:hAnsi="宋体" w:cs="宋体-方正超大字符集"/>
                <w:b/>
                <w:sz w:val="24"/>
              </w:rPr>
              <w:t>UPS</w:t>
            </w:r>
            <w:r>
              <w:rPr>
                <w:rFonts w:hint="eastAsia" w:ascii="宋体" w:hAnsi="宋体" w:cs="宋体-方正超大字符集"/>
                <w:b/>
                <w:sz w:val="24"/>
              </w:rPr>
              <w:t>不间断电源</w:t>
            </w:r>
          </w:p>
          <w:p w14:paraId="59CE844A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（1）主机清理，保持良好的通风，清理窗扇过滤网，清理元器件上堆积的浮尘等（每季度至少一次）。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（2）检查并确保电气连接牢固，各种控制仪表显示正常（每季度至少一次）。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（3）检查并确保电池柜中电池组连接线和接触点链接正常，无发热元器件（每季度至少一次）。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（4）进行断电测试，确保市电故障情况下UPS能够正常启动供电。（每季度至少一次）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sz w:val="24"/>
              </w:rPr>
              <w:t>（</w:t>
            </w:r>
            <w:r>
              <w:rPr>
                <w:rFonts w:ascii="宋体" w:hAnsi="宋体" w:cs="宋体-方正超大字符集"/>
                <w:sz w:val="24"/>
              </w:rPr>
              <w:t>5</w:t>
            </w:r>
            <w:r>
              <w:rPr>
                <w:rFonts w:hint="eastAsia" w:ascii="宋体" w:hAnsi="宋体" w:cs="宋体-方正超大字符集"/>
                <w:sz w:val="24"/>
              </w:rPr>
              <w:t>）UPS机房内调试，确保室内空调工作正常，室内卫生和通风通道畅通无阻（每季度至少一次）。</w:t>
            </w:r>
            <w:r>
              <w:rPr>
                <w:rFonts w:hint="eastAsia" w:ascii="宋体" w:hAnsi="宋体" w:cs="宋体-方正超大字符集"/>
                <w:sz w:val="24"/>
              </w:rPr>
              <w:br w:type="textWrapping"/>
            </w:r>
            <w:r>
              <w:rPr>
                <w:rFonts w:hint="eastAsia" w:ascii="宋体" w:hAnsi="宋体" w:cs="宋体-方正超大字符集"/>
                <w:b/>
                <w:sz w:val="24"/>
              </w:rPr>
              <w:t>八、围护结构</w:t>
            </w:r>
          </w:p>
          <w:p w14:paraId="3B73BFCD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1）实验室围护结构-检查PVC地面卷边上墙部位与墙壁接触部位是否有裂缝，注意补胶处理；检查围护结构彩钢板接缝处是否完好无损，有无密封胶脱落情况；检查周围结构所有圆弧墙角处是否有压条脱落情况，是否有细小的裂缝，注意补胶；检查围护结构上所有穿墙设施（如：灯、门、窗、电线等）边缘是否有细小裂缝，注意补胶处理（每季度至少一次）；</w:t>
            </w:r>
          </w:p>
          <w:p w14:paraId="25919FA1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2）实验室门窗户-检查围护结构上所有穿墙设施（如：灯、门、窗、电线等）边缘是否有细小裂缝，注意补胶处理；检查密封门是否可以自动关闭，检查闭门器是否正常；检查密封门自动关闭后是否正常到位，门锁是否有效；密封门的橡胶密封条是否有脱落和分离情况，门下边密封条是否完好；检查密封门安装的是否仍然牢固，有无松动现象，必要时调整门的合页（每季度至少一次）；</w:t>
            </w:r>
          </w:p>
          <w:p w14:paraId="7738B612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（3）照明及紫外消毒-根据要求改造应急照明系统，检查实验室照明系统及紫外灯管是否正常，如有问题及时维修更换（每季度至少一次）。</w:t>
            </w:r>
          </w:p>
          <w:p w14:paraId="1ECB0DE6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九、配合第三方检测机构完成相关检测</w:t>
            </w:r>
          </w:p>
          <w:p w14:paraId="6278374A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实验室工况检测-安排专人配合第三方检测机构完成实验室工况相关检测，在检测前3天必须到位完成调试；发现问题及时整改。包括但不限于以下项目：气密性检测、换气次数检测、洁净度检测、照度检测、噪音检测、温度检测、湿度检测、实验室静压差检测、工况切换测试、备用电源保障验证、紧急报警与一般报警验证、送排风机安全性连锁验证、排风高效过滤器检测等。</w:t>
            </w:r>
          </w:p>
          <w:p w14:paraId="460CC6B1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十、配合实验室各项评审检查</w:t>
            </w:r>
          </w:p>
          <w:p w14:paraId="25BC758B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（1）配合第三方检测-安排专人现场全程配合国检中心对实验室检测（根据现场检测安排而定）。</w:t>
            </w:r>
          </w:p>
          <w:p w14:paraId="18D091C6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（2）配合实验室做好国家认可委现场评审工作-安排专人现场全程配合评审专家对实验室评审（根据现场评审安排而定）。</w:t>
            </w:r>
          </w:p>
          <w:p w14:paraId="27B6A0B7">
            <w:pPr>
              <w:pStyle w:val="6"/>
              <w:rPr>
                <w:rFonts w:hint="eastAsia" w:cs="宋体-方正超大字符集"/>
              </w:rPr>
            </w:pPr>
            <w:r>
              <w:rPr>
                <w:rFonts w:hint="eastAsia" w:cs="宋体-方正超大字符集"/>
              </w:rPr>
              <w:t>（3）配合实验室做好国家卫健委对实验室审查-安排专人现场全程配合国家卫健委专家对实验室评审（视实际情况定每年陪检次数）。</w:t>
            </w:r>
          </w:p>
          <w:p w14:paraId="2EFEDFD0">
            <w:pPr>
              <w:spacing w:line="120" w:lineRule="auto"/>
              <w:rPr>
                <w:rFonts w:hint="eastAsia" w:ascii="宋体" w:hAnsi="宋体" w:cs="宋体-方正超大字符集"/>
                <w:b/>
                <w:sz w:val="24"/>
              </w:rPr>
            </w:pPr>
            <w:r>
              <w:rPr>
                <w:rFonts w:hint="eastAsia" w:ascii="宋体" w:hAnsi="宋体" w:cs="宋体-方正超大字符集"/>
                <w:b/>
                <w:sz w:val="24"/>
              </w:rPr>
              <w:t>十一、维保资料</w:t>
            </w:r>
          </w:p>
          <w:p w14:paraId="39E359A1">
            <w:pPr>
              <w:pStyle w:val="6"/>
              <w:rPr>
                <w:rFonts w:hint="eastAsia"/>
              </w:rPr>
            </w:pPr>
            <w:r>
              <w:rPr>
                <w:rFonts w:hint="eastAsia" w:cs="宋体-方正超大字符集"/>
              </w:rPr>
              <w:t>出具维保资料-每次维保结束后出具维保记录，由甲方对维保情况进行确认验收。每年年终提交一份整理、装订好的全年维保过程资料以便存档（每季度提交一次，每年年终提交一份全册）。</w:t>
            </w:r>
          </w:p>
          <w:p w14:paraId="6FF60B25">
            <w:pPr>
              <w:pStyle w:val="6"/>
              <w:rPr>
                <w:rFonts w:hint="eastAsia"/>
              </w:rPr>
            </w:pPr>
            <w:bookmarkStart w:id="1" w:name="_GoBack"/>
            <w:bookmarkEnd w:id="1"/>
          </w:p>
        </w:tc>
        <w:tc>
          <w:tcPr>
            <w:tcW w:w="993" w:type="dxa"/>
            <w:vAlign w:val="center"/>
          </w:tcPr>
          <w:p w14:paraId="3C554C82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eastAsia"/>
                <w:sz w:val="22"/>
              </w:rPr>
              <w:t>项</w:t>
            </w:r>
          </w:p>
        </w:tc>
        <w:tc>
          <w:tcPr>
            <w:tcW w:w="1417" w:type="dxa"/>
            <w:vAlign w:val="center"/>
          </w:tcPr>
          <w:p w14:paraId="60799DBF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2126" w:type="dxa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  <w:r>
              <w:rPr>
                <w:rFonts w:hint="eastAsia" w:ascii="华文楷体" w:hAnsi="华文楷体" w:eastAsia="华文楷体" w:cs="华文楷体"/>
                <w:sz w:val="22"/>
              </w:rPr>
              <w:t>280000元</w:t>
            </w:r>
          </w:p>
        </w:tc>
      </w:tr>
    </w:tbl>
    <w:p w14:paraId="4CAB74D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7D67CC"/>
    <w:multiLevelType w:val="multilevel"/>
    <w:tmpl w:val="7D7D67CC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E857CD"/>
    <w:rsid w:val="000043C3"/>
    <w:rsid w:val="00010279"/>
    <w:rsid w:val="002928A1"/>
    <w:rsid w:val="00332B15"/>
    <w:rsid w:val="004C1EA3"/>
    <w:rsid w:val="0066171F"/>
    <w:rsid w:val="00666BD5"/>
    <w:rsid w:val="00724E73"/>
    <w:rsid w:val="007950CF"/>
    <w:rsid w:val="007E2FAE"/>
    <w:rsid w:val="008B15C1"/>
    <w:rsid w:val="00932ADF"/>
    <w:rsid w:val="009E33AA"/>
    <w:rsid w:val="00A00705"/>
    <w:rsid w:val="00BE72DC"/>
    <w:rsid w:val="00C514B9"/>
    <w:rsid w:val="00C84CB3"/>
    <w:rsid w:val="00D8111D"/>
    <w:rsid w:val="00DC0193"/>
    <w:rsid w:val="00E82975"/>
    <w:rsid w:val="00FD2B58"/>
    <w:rsid w:val="20117F78"/>
    <w:rsid w:val="34C8167F"/>
    <w:rsid w:val="3E7774A8"/>
    <w:rsid w:val="41722E6B"/>
    <w:rsid w:val="4F344059"/>
    <w:rsid w:val="69E857CD"/>
    <w:rsid w:val="76B0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9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字符"/>
    <w:basedOn w:val="8"/>
    <w:link w:val="5"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kern w:val="2"/>
      <w:sz w:val="18"/>
      <w:szCs w:val="18"/>
    </w:rPr>
  </w:style>
  <w:style w:type="paragraph" w:customStyle="1" w:styleId="1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3265</Words>
  <Characters>3319</Characters>
  <Lines>24</Lines>
  <Paragraphs>6</Paragraphs>
  <TotalTime>6</TotalTime>
  <ScaleCrop>false</ScaleCrop>
  <LinksUpToDate>false</LinksUpToDate>
  <CharactersWithSpaces>3319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2026-09-29T09:01:00Z</dcterms:created>
  <dc:creator>灿</dc:creator>
  <cp:lastModifiedBy>凌昊</cp:lastModifiedBy>
  <dcterms:modified xsi:type="dcterms:W3CDTF">2026-09-30T09:30:13Z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47EE38F4BA21488CAC67AF4DBC5762E6_13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